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XSpec="center" w:tblpY="451"/>
        <w:tblW w:w="10774" w:type="dxa"/>
        <w:tblLook w:val="04A0" w:firstRow="1" w:lastRow="0" w:firstColumn="1" w:lastColumn="0" w:noHBand="0" w:noVBand="1"/>
      </w:tblPr>
      <w:tblGrid>
        <w:gridCol w:w="4395"/>
        <w:gridCol w:w="6379"/>
      </w:tblGrid>
      <w:tr w:rsidR="003165DD" w:rsidRPr="00431558" w:rsidTr="003E5CE2">
        <w:trPr>
          <w:trHeight w:val="556"/>
        </w:trPr>
        <w:tc>
          <w:tcPr>
            <w:tcW w:w="4395" w:type="dxa"/>
          </w:tcPr>
          <w:p w:rsidR="003165DD" w:rsidRPr="00431558" w:rsidRDefault="003165DD" w:rsidP="00DD462C">
            <w:pPr>
              <w:rPr>
                <w:b/>
                <w:sz w:val="28"/>
                <w:szCs w:val="20"/>
              </w:rPr>
            </w:pPr>
            <w:r w:rsidRPr="00431558">
              <w:rPr>
                <w:b/>
                <w:sz w:val="28"/>
                <w:szCs w:val="20"/>
              </w:rPr>
              <w:t>CATEGORIE DE PUBLIC EMPECHE</w:t>
            </w:r>
            <w:r w:rsidR="0003557A" w:rsidRPr="00431558">
              <w:rPr>
                <w:b/>
                <w:sz w:val="28"/>
                <w:szCs w:val="20"/>
              </w:rPr>
              <w:t xml:space="preserve"> : </w:t>
            </w:r>
          </w:p>
          <w:p w:rsidR="00A124A5" w:rsidRPr="00431558" w:rsidRDefault="00A124A5" w:rsidP="00DD462C">
            <w:pPr>
              <w:rPr>
                <w:b/>
                <w:sz w:val="28"/>
                <w:szCs w:val="20"/>
              </w:rPr>
            </w:pPr>
          </w:p>
        </w:tc>
        <w:tc>
          <w:tcPr>
            <w:tcW w:w="6379" w:type="dxa"/>
          </w:tcPr>
          <w:p w:rsidR="003165DD" w:rsidRPr="00431558" w:rsidRDefault="005257C7" w:rsidP="005257C7">
            <w:pPr>
              <w:ind w:left="175" w:hanging="142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              </w:t>
            </w:r>
            <w:r w:rsidR="00A124A5" w:rsidRPr="00431558">
              <w:rPr>
                <w:b/>
                <w:sz w:val="28"/>
                <w:szCs w:val="20"/>
              </w:rPr>
              <w:t>Etudiant en situation de handicap</w:t>
            </w:r>
          </w:p>
        </w:tc>
      </w:tr>
      <w:tr w:rsidR="003165DD" w:rsidRPr="00431558" w:rsidTr="00DD462C">
        <w:tc>
          <w:tcPr>
            <w:tcW w:w="4395" w:type="dxa"/>
          </w:tcPr>
          <w:p w:rsidR="00A72995" w:rsidRPr="00431558" w:rsidRDefault="00A72995" w:rsidP="00A72995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A72995" w:rsidRPr="00431558" w:rsidRDefault="00A72995" w:rsidP="00A72995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A72995" w:rsidRPr="00431558" w:rsidRDefault="00A72995" w:rsidP="00A72995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A72995" w:rsidRPr="00431558" w:rsidRDefault="00A72995" w:rsidP="00A72995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A72995" w:rsidRPr="00431558" w:rsidRDefault="00A72995" w:rsidP="00A72995">
            <w:pPr>
              <w:jc w:val="center"/>
              <w:rPr>
                <w:rFonts w:cs="Arial"/>
                <w:b/>
                <w:sz w:val="28"/>
                <w:szCs w:val="20"/>
              </w:rPr>
            </w:pPr>
            <w:r w:rsidRPr="00431558">
              <w:rPr>
                <w:rFonts w:cs="Arial"/>
                <w:b/>
                <w:sz w:val="28"/>
                <w:szCs w:val="20"/>
              </w:rPr>
              <w:t>Règlementation applicable</w:t>
            </w:r>
          </w:p>
          <w:p w:rsidR="00A124A5" w:rsidRPr="00431558" w:rsidRDefault="00A124A5" w:rsidP="00DD462C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A124A5" w:rsidRPr="00431558" w:rsidRDefault="00A124A5" w:rsidP="00DD462C">
            <w:pPr>
              <w:pStyle w:val="Paragraphedeliste"/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jc w:val="both"/>
              <w:rPr>
                <w:rFonts w:cs="Arial"/>
                <w:sz w:val="20"/>
                <w:szCs w:val="20"/>
              </w:rPr>
            </w:pPr>
            <w:r w:rsidRPr="00431558">
              <w:rPr>
                <w:rFonts w:cs="Arial"/>
                <w:sz w:val="20"/>
                <w:szCs w:val="20"/>
              </w:rPr>
              <w:t>Loi n° 2005-102 du 11 février 2005 pour l’égalité des droits et des chances, citoyenneté et la participation des personnes handicapées</w:t>
            </w:r>
            <w:r w:rsidR="00897EC7" w:rsidRPr="00431558">
              <w:rPr>
                <w:rFonts w:cs="Arial"/>
                <w:sz w:val="20"/>
                <w:szCs w:val="20"/>
              </w:rPr>
              <w:t xml:space="preserve"> </w:t>
            </w:r>
            <w:hyperlink r:id="rId5" w:history="1">
              <w:r w:rsidR="0003557A" w:rsidRPr="00431558">
                <w:rPr>
                  <w:rStyle w:val="Lienhypertexte"/>
                  <w:rFonts w:cs="Arial"/>
                  <w:sz w:val="20"/>
                  <w:szCs w:val="20"/>
                </w:rPr>
                <w:t>(voir)</w:t>
              </w:r>
            </w:hyperlink>
          </w:p>
          <w:p w:rsidR="00897EC7" w:rsidRPr="00431558" w:rsidRDefault="00897EC7" w:rsidP="00DD462C">
            <w:pPr>
              <w:pStyle w:val="Paragraphedeliste"/>
              <w:tabs>
                <w:tab w:val="left" w:pos="459"/>
              </w:tabs>
              <w:ind w:left="175"/>
              <w:jc w:val="both"/>
              <w:rPr>
                <w:rFonts w:cs="Arial"/>
                <w:sz w:val="20"/>
                <w:szCs w:val="20"/>
              </w:rPr>
            </w:pPr>
          </w:p>
          <w:p w:rsidR="00A124A5" w:rsidRPr="00431558" w:rsidRDefault="00A124A5" w:rsidP="00DD462C">
            <w:pPr>
              <w:pStyle w:val="Paragraphedeliste"/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jc w:val="both"/>
              <w:rPr>
                <w:rFonts w:cs="Arial"/>
                <w:sz w:val="20"/>
                <w:szCs w:val="20"/>
              </w:rPr>
            </w:pPr>
            <w:r w:rsidRPr="00431558">
              <w:rPr>
                <w:rFonts w:cs="Arial"/>
                <w:sz w:val="20"/>
                <w:szCs w:val="20"/>
              </w:rPr>
              <w:t>Décret 2005-1617 du 21/12/2005 relatif aux aménagements des examens et concours de l’enseignement scolaire et de l’enseignement supérieur présentant un handicap</w:t>
            </w:r>
            <w:r w:rsidR="0003557A" w:rsidRPr="00431558">
              <w:rPr>
                <w:rFonts w:cs="Arial"/>
                <w:sz w:val="20"/>
                <w:szCs w:val="20"/>
              </w:rPr>
              <w:t xml:space="preserve"> </w:t>
            </w:r>
            <w:hyperlink r:id="rId6" w:history="1">
              <w:r w:rsidR="0003557A" w:rsidRPr="00431558">
                <w:rPr>
                  <w:rStyle w:val="Lienhypertexte"/>
                  <w:rFonts w:cs="Arial"/>
                  <w:sz w:val="20"/>
                  <w:szCs w:val="20"/>
                </w:rPr>
                <w:t>(voir)</w:t>
              </w:r>
            </w:hyperlink>
          </w:p>
          <w:p w:rsidR="00A124A5" w:rsidRPr="00431558" w:rsidRDefault="00A124A5" w:rsidP="00DD462C">
            <w:pPr>
              <w:tabs>
                <w:tab w:val="left" w:pos="459"/>
              </w:tabs>
              <w:ind w:left="175"/>
              <w:jc w:val="both"/>
              <w:rPr>
                <w:rFonts w:cs="Arial"/>
                <w:sz w:val="20"/>
                <w:szCs w:val="20"/>
              </w:rPr>
            </w:pPr>
          </w:p>
          <w:p w:rsidR="00A124A5" w:rsidRPr="00431558" w:rsidRDefault="00A124A5" w:rsidP="00DD462C">
            <w:pPr>
              <w:pStyle w:val="Paragraphedeliste"/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jc w:val="both"/>
              <w:rPr>
                <w:rFonts w:cs="Arial"/>
                <w:sz w:val="20"/>
                <w:szCs w:val="20"/>
              </w:rPr>
            </w:pPr>
            <w:r w:rsidRPr="00431558">
              <w:rPr>
                <w:rFonts w:cs="Arial"/>
                <w:sz w:val="20"/>
                <w:szCs w:val="20"/>
              </w:rPr>
              <w:t xml:space="preserve">Article L.114 du code de l’action sociale et des familles </w:t>
            </w:r>
            <w:hyperlink r:id="rId7" w:history="1">
              <w:r w:rsidR="0003557A" w:rsidRPr="00431558">
                <w:rPr>
                  <w:rStyle w:val="Lienhypertexte"/>
                  <w:rFonts w:cs="Arial"/>
                  <w:sz w:val="20"/>
                  <w:szCs w:val="20"/>
                </w:rPr>
                <w:t>(VOIR)</w:t>
              </w:r>
            </w:hyperlink>
          </w:p>
          <w:p w:rsidR="0003557A" w:rsidRPr="00431558" w:rsidRDefault="0003557A" w:rsidP="00DD462C">
            <w:pPr>
              <w:tabs>
                <w:tab w:val="left" w:pos="459"/>
              </w:tabs>
              <w:ind w:left="175"/>
              <w:jc w:val="both"/>
              <w:rPr>
                <w:rFonts w:cs="Arial"/>
                <w:sz w:val="20"/>
                <w:szCs w:val="20"/>
              </w:rPr>
            </w:pPr>
          </w:p>
          <w:p w:rsidR="00A124A5" w:rsidRPr="00431558" w:rsidRDefault="00A124A5" w:rsidP="00DD462C">
            <w:pPr>
              <w:pStyle w:val="Paragraphedeliste"/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jc w:val="both"/>
              <w:rPr>
                <w:rFonts w:cs="Arial"/>
                <w:sz w:val="20"/>
                <w:szCs w:val="20"/>
              </w:rPr>
            </w:pPr>
            <w:r w:rsidRPr="00431558">
              <w:rPr>
                <w:rFonts w:cs="Arial"/>
                <w:sz w:val="20"/>
                <w:szCs w:val="20"/>
              </w:rPr>
              <w:t xml:space="preserve">Articles D613-26 à D613-30 du code de l’éducation </w:t>
            </w:r>
            <w:hyperlink r:id="rId8" w:history="1">
              <w:r w:rsidRPr="00431558">
                <w:rPr>
                  <w:rStyle w:val="Lienhypertexte"/>
                  <w:rFonts w:cs="Arial"/>
                  <w:sz w:val="20"/>
                  <w:szCs w:val="20"/>
                </w:rPr>
                <w:t>(VOIR)</w:t>
              </w:r>
            </w:hyperlink>
          </w:p>
          <w:p w:rsidR="00A124A5" w:rsidRPr="00431558" w:rsidRDefault="00A124A5" w:rsidP="00DD462C">
            <w:pPr>
              <w:tabs>
                <w:tab w:val="left" w:pos="459"/>
              </w:tabs>
              <w:ind w:left="175"/>
              <w:jc w:val="both"/>
              <w:rPr>
                <w:rFonts w:cs="Arial"/>
                <w:sz w:val="20"/>
                <w:szCs w:val="20"/>
              </w:rPr>
            </w:pPr>
          </w:p>
          <w:p w:rsidR="00A124A5" w:rsidRPr="00431558" w:rsidRDefault="00A124A5" w:rsidP="00DD462C">
            <w:pPr>
              <w:pStyle w:val="Paragraphedeliste"/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jc w:val="both"/>
              <w:rPr>
                <w:rFonts w:cs="Arial"/>
                <w:sz w:val="20"/>
                <w:szCs w:val="20"/>
              </w:rPr>
            </w:pPr>
            <w:r w:rsidRPr="00431558">
              <w:rPr>
                <w:rFonts w:cs="Arial"/>
                <w:sz w:val="20"/>
                <w:szCs w:val="20"/>
              </w:rPr>
              <w:t>Circulaire n°2011-220 du 27-12-2011 relative aux  examens et concours de l’enseignement scolaire et de l’enseignement supérieur : organisation pour les candidats présentant un handicap</w:t>
            </w:r>
            <w:r w:rsidR="0003557A" w:rsidRPr="00431558">
              <w:rPr>
                <w:rFonts w:cs="Arial"/>
                <w:sz w:val="20"/>
                <w:szCs w:val="20"/>
              </w:rPr>
              <w:t xml:space="preserve"> </w:t>
            </w:r>
            <w:hyperlink r:id="rId9" w:history="1">
              <w:r w:rsidR="0003557A" w:rsidRPr="00431558">
                <w:rPr>
                  <w:rStyle w:val="Lienhypertexte"/>
                  <w:rFonts w:cs="Arial"/>
                  <w:sz w:val="20"/>
                  <w:szCs w:val="20"/>
                </w:rPr>
                <w:t>(VOIR)</w:t>
              </w:r>
            </w:hyperlink>
          </w:p>
          <w:p w:rsidR="0003557A" w:rsidRPr="00431558" w:rsidRDefault="0003557A" w:rsidP="00DD462C">
            <w:pPr>
              <w:tabs>
                <w:tab w:val="left" w:pos="459"/>
              </w:tabs>
              <w:ind w:left="175"/>
              <w:jc w:val="both"/>
              <w:rPr>
                <w:sz w:val="20"/>
                <w:szCs w:val="20"/>
              </w:rPr>
            </w:pPr>
          </w:p>
        </w:tc>
      </w:tr>
      <w:tr w:rsidR="003165DD" w:rsidRPr="00431558" w:rsidTr="00DD462C">
        <w:tc>
          <w:tcPr>
            <w:tcW w:w="4395" w:type="dxa"/>
          </w:tcPr>
          <w:p w:rsidR="00A72995" w:rsidRPr="00431558" w:rsidRDefault="00A72995" w:rsidP="00A72995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A72995" w:rsidRPr="00431558" w:rsidRDefault="00A72995" w:rsidP="00A72995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A72995" w:rsidRPr="00431558" w:rsidRDefault="00A72995" w:rsidP="00A72995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A72995" w:rsidRPr="00431558" w:rsidRDefault="00A72995" w:rsidP="00A72995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A72995" w:rsidRPr="00431558" w:rsidRDefault="00A72995" w:rsidP="00A72995">
            <w:pPr>
              <w:jc w:val="center"/>
              <w:rPr>
                <w:rFonts w:cs="Arial"/>
                <w:b/>
                <w:sz w:val="28"/>
                <w:szCs w:val="20"/>
              </w:rPr>
            </w:pPr>
            <w:r w:rsidRPr="00431558">
              <w:rPr>
                <w:rFonts w:cs="Arial"/>
                <w:b/>
                <w:sz w:val="28"/>
                <w:szCs w:val="20"/>
              </w:rPr>
              <w:t>Justificatifs administratifs à recueillir</w:t>
            </w:r>
          </w:p>
          <w:p w:rsidR="00A124A5" w:rsidRPr="00431558" w:rsidRDefault="00A124A5" w:rsidP="00DD462C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03557A" w:rsidRPr="00431558" w:rsidRDefault="0003557A" w:rsidP="00DD462C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ind w:left="317" w:hanging="142"/>
              <w:jc w:val="both"/>
              <w:rPr>
                <w:sz w:val="20"/>
                <w:szCs w:val="20"/>
              </w:rPr>
            </w:pPr>
            <w:r w:rsidRPr="00431558">
              <w:rPr>
                <w:sz w:val="20"/>
                <w:szCs w:val="20"/>
              </w:rPr>
              <w:t xml:space="preserve">Préconisation d’aménagement(s) établie par le médecin du </w:t>
            </w:r>
            <w:r w:rsidR="00154956" w:rsidRPr="00431558">
              <w:rPr>
                <w:sz w:val="20"/>
                <w:szCs w:val="20"/>
              </w:rPr>
              <w:t>Service de Santé Universitaire</w:t>
            </w:r>
            <w:r w:rsidR="00D669DF" w:rsidRPr="00431558">
              <w:rPr>
                <w:sz w:val="20"/>
                <w:szCs w:val="20"/>
              </w:rPr>
              <w:t xml:space="preserve"> (</w:t>
            </w:r>
            <w:r w:rsidRPr="00431558">
              <w:rPr>
                <w:sz w:val="20"/>
                <w:szCs w:val="20"/>
              </w:rPr>
              <w:t>Si nécessaire</w:t>
            </w:r>
            <w:r w:rsidR="00D669DF" w:rsidRPr="00431558">
              <w:rPr>
                <w:sz w:val="20"/>
                <w:szCs w:val="20"/>
              </w:rPr>
              <w:t>, obtenir</w:t>
            </w:r>
            <w:r w:rsidRPr="00431558">
              <w:rPr>
                <w:sz w:val="20"/>
                <w:szCs w:val="20"/>
              </w:rPr>
              <w:t xml:space="preserve"> la décision de la M</w:t>
            </w:r>
            <w:r w:rsidR="00154956" w:rsidRPr="00431558">
              <w:rPr>
                <w:sz w:val="20"/>
                <w:szCs w:val="20"/>
              </w:rPr>
              <w:t xml:space="preserve">aison </w:t>
            </w:r>
            <w:r w:rsidRPr="00431558">
              <w:rPr>
                <w:sz w:val="20"/>
                <w:szCs w:val="20"/>
              </w:rPr>
              <w:t>D</w:t>
            </w:r>
            <w:r w:rsidR="00154956" w:rsidRPr="00431558">
              <w:rPr>
                <w:sz w:val="20"/>
                <w:szCs w:val="20"/>
              </w:rPr>
              <w:t xml:space="preserve">épartementale des </w:t>
            </w:r>
            <w:r w:rsidRPr="00431558">
              <w:rPr>
                <w:sz w:val="20"/>
                <w:szCs w:val="20"/>
              </w:rPr>
              <w:t>P</w:t>
            </w:r>
            <w:r w:rsidR="00154956" w:rsidRPr="00431558">
              <w:rPr>
                <w:sz w:val="20"/>
                <w:szCs w:val="20"/>
              </w:rPr>
              <w:t xml:space="preserve">ersonnes </w:t>
            </w:r>
            <w:r w:rsidRPr="00431558">
              <w:rPr>
                <w:sz w:val="20"/>
                <w:szCs w:val="20"/>
              </w:rPr>
              <w:t>H</w:t>
            </w:r>
            <w:r w:rsidR="00154956" w:rsidRPr="00431558">
              <w:rPr>
                <w:sz w:val="20"/>
                <w:szCs w:val="20"/>
              </w:rPr>
              <w:t>andicapées</w:t>
            </w:r>
            <w:r w:rsidR="00D669DF" w:rsidRPr="00431558">
              <w:rPr>
                <w:sz w:val="20"/>
                <w:szCs w:val="20"/>
              </w:rPr>
              <w:t>)</w:t>
            </w:r>
          </w:p>
          <w:p w:rsidR="00D669DF" w:rsidRPr="00431558" w:rsidRDefault="00D669DF" w:rsidP="00DD462C">
            <w:pPr>
              <w:pStyle w:val="Paragraphedeliste"/>
              <w:tabs>
                <w:tab w:val="left" w:pos="459"/>
              </w:tabs>
              <w:ind w:left="317"/>
              <w:jc w:val="both"/>
              <w:rPr>
                <w:sz w:val="20"/>
                <w:szCs w:val="20"/>
              </w:rPr>
            </w:pPr>
          </w:p>
          <w:p w:rsidR="00D669DF" w:rsidRPr="00431558" w:rsidRDefault="00D669DF" w:rsidP="00DD462C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ind w:left="317" w:hanging="142"/>
              <w:jc w:val="both"/>
              <w:rPr>
                <w:sz w:val="20"/>
                <w:szCs w:val="20"/>
              </w:rPr>
            </w:pPr>
            <w:r w:rsidRPr="00431558">
              <w:rPr>
                <w:sz w:val="20"/>
                <w:szCs w:val="20"/>
              </w:rPr>
              <w:t xml:space="preserve">Marche à suivre  pour </w:t>
            </w:r>
            <w:r w:rsidR="00154956" w:rsidRPr="00431558">
              <w:rPr>
                <w:sz w:val="20"/>
                <w:szCs w:val="20"/>
              </w:rPr>
              <w:t>la composante</w:t>
            </w:r>
            <w:r w:rsidRPr="00431558">
              <w:rPr>
                <w:sz w:val="20"/>
                <w:szCs w:val="20"/>
              </w:rPr>
              <w:t xml:space="preserve"> : </w:t>
            </w:r>
          </w:p>
          <w:p w:rsidR="00D669DF" w:rsidRPr="00431558" w:rsidRDefault="00D669DF" w:rsidP="00284051">
            <w:pPr>
              <w:pStyle w:val="Paragraphedeliste"/>
              <w:numPr>
                <w:ilvl w:val="0"/>
                <w:numId w:val="6"/>
              </w:numPr>
              <w:tabs>
                <w:tab w:val="left" w:pos="1026"/>
              </w:tabs>
              <w:ind w:left="708"/>
              <w:jc w:val="both"/>
              <w:rPr>
                <w:sz w:val="20"/>
                <w:szCs w:val="20"/>
              </w:rPr>
            </w:pPr>
            <w:r w:rsidRPr="00431558">
              <w:rPr>
                <w:sz w:val="20"/>
                <w:szCs w:val="20"/>
              </w:rPr>
              <w:t xml:space="preserve">adresser l’étudiant qui se présente </w:t>
            </w:r>
            <w:r w:rsidR="0036052D" w:rsidRPr="00431558">
              <w:rPr>
                <w:sz w:val="20"/>
                <w:szCs w:val="20"/>
              </w:rPr>
              <w:t xml:space="preserve">spontanément </w:t>
            </w:r>
            <w:r w:rsidR="00154956" w:rsidRPr="00431558">
              <w:rPr>
                <w:sz w:val="20"/>
                <w:szCs w:val="20"/>
              </w:rPr>
              <w:t>à la composante</w:t>
            </w:r>
            <w:r w:rsidRPr="00431558">
              <w:rPr>
                <w:sz w:val="20"/>
                <w:szCs w:val="20"/>
              </w:rPr>
              <w:t xml:space="preserve"> au Service d</w:t>
            </w:r>
            <w:r w:rsidR="00154956" w:rsidRPr="00431558">
              <w:rPr>
                <w:sz w:val="20"/>
                <w:szCs w:val="20"/>
              </w:rPr>
              <w:t>es Étudiants en Situation de H</w:t>
            </w:r>
            <w:r w:rsidRPr="00431558">
              <w:rPr>
                <w:sz w:val="20"/>
                <w:szCs w:val="20"/>
              </w:rPr>
              <w:t>andicap</w:t>
            </w:r>
            <w:r w:rsidR="00154956" w:rsidRPr="00431558">
              <w:rPr>
                <w:sz w:val="20"/>
                <w:szCs w:val="20"/>
              </w:rPr>
              <w:t xml:space="preserve"> ou au </w:t>
            </w:r>
            <w:r w:rsidRPr="00431558">
              <w:rPr>
                <w:sz w:val="20"/>
                <w:szCs w:val="20"/>
              </w:rPr>
              <w:t>S</w:t>
            </w:r>
            <w:r w:rsidR="00154956" w:rsidRPr="00431558">
              <w:rPr>
                <w:sz w:val="20"/>
                <w:szCs w:val="20"/>
              </w:rPr>
              <w:t xml:space="preserve">ervice de </w:t>
            </w:r>
            <w:r w:rsidRPr="00431558">
              <w:rPr>
                <w:sz w:val="20"/>
                <w:szCs w:val="20"/>
              </w:rPr>
              <w:t>S</w:t>
            </w:r>
            <w:r w:rsidR="00154956" w:rsidRPr="00431558">
              <w:rPr>
                <w:sz w:val="20"/>
                <w:szCs w:val="20"/>
              </w:rPr>
              <w:t xml:space="preserve">anté </w:t>
            </w:r>
            <w:r w:rsidRPr="00431558">
              <w:rPr>
                <w:sz w:val="20"/>
                <w:szCs w:val="20"/>
              </w:rPr>
              <w:t>U</w:t>
            </w:r>
            <w:r w:rsidR="00154956" w:rsidRPr="00431558">
              <w:rPr>
                <w:sz w:val="20"/>
                <w:szCs w:val="20"/>
              </w:rPr>
              <w:t>niversitaire</w:t>
            </w:r>
            <w:r w:rsidRPr="00431558">
              <w:rPr>
                <w:sz w:val="20"/>
                <w:szCs w:val="20"/>
              </w:rPr>
              <w:t xml:space="preserve"> en vue de l’obtention de l’aménagement</w:t>
            </w:r>
          </w:p>
          <w:p w:rsidR="00D669DF" w:rsidRPr="00431558" w:rsidRDefault="00D669DF" w:rsidP="00284051">
            <w:pPr>
              <w:pStyle w:val="Paragraphedeliste"/>
              <w:numPr>
                <w:ilvl w:val="0"/>
                <w:numId w:val="6"/>
              </w:numPr>
              <w:tabs>
                <w:tab w:val="left" w:pos="1026"/>
              </w:tabs>
              <w:ind w:left="708"/>
              <w:jc w:val="both"/>
              <w:rPr>
                <w:sz w:val="20"/>
                <w:szCs w:val="20"/>
              </w:rPr>
            </w:pPr>
            <w:r w:rsidRPr="00431558">
              <w:rPr>
                <w:sz w:val="20"/>
                <w:szCs w:val="20"/>
              </w:rPr>
              <w:t>rien n’est mis en place sans cette préconisation</w:t>
            </w:r>
            <w:r w:rsidR="00154956" w:rsidRPr="00431558">
              <w:rPr>
                <w:sz w:val="20"/>
                <w:szCs w:val="20"/>
              </w:rPr>
              <w:t>,</w:t>
            </w:r>
            <w:r w:rsidRPr="00431558">
              <w:rPr>
                <w:sz w:val="20"/>
                <w:szCs w:val="20"/>
              </w:rPr>
              <w:t xml:space="preserve"> </w:t>
            </w:r>
            <w:r w:rsidR="0036052D" w:rsidRPr="00431558">
              <w:rPr>
                <w:sz w:val="20"/>
                <w:szCs w:val="20"/>
              </w:rPr>
              <w:t>ni l’</w:t>
            </w:r>
            <w:r w:rsidRPr="00431558">
              <w:rPr>
                <w:sz w:val="20"/>
                <w:szCs w:val="20"/>
              </w:rPr>
              <w:t>arrêté du Président</w:t>
            </w:r>
          </w:p>
          <w:p w:rsidR="00A420EA" w:rsidRPr="00431558" w:rsidRDefault="00A420EA" w:rsidP="00284051">
            <w:pPr>
              <w:pStyle w:val="Paragraphedeliste"/>
              <w:numPr>
                <w:ilvl w:val="0"/>
                <w:numId w:val="6"/>
              </w:numPr>
              <w:tabs>
                <w:tab w:val="left" w:pos="1026"/>
              </w:tabs>
              <w:ind w:left="708"/>
              <w:jc w:val="both"/>
              <w:rPr>
                <w:sz w:val="20"/>
                <w:szCs w:val="20"/>
              </w:rPr>
            </w:pPr>
            <w:r w:rsidRPr="00431558">
              <w:rPr>
                <w:sz w:val="20"/>
                <w:szCs w:val="20"/>
              </w:rPr>
              <w:t>une fois l’aménagement obtenu</w:t>
            </w:r>
            <w:r w:rsidR="0008041A">
              <w:rPr>
                <w:sz w:val="20"/>
                <w:szCs w:val="20"/>
              </w:rPr>
              <w:t xml:space="preserve"> et communiqué,</w:t>
            </w:r>
            <w:r w:rsidRPr="00431558">
              <w:rPr>
                <w:sz w:val="20"/>
                <w:szCs w:val="20"/>
              </w:rPr>
              <w:t xml:space="preserve"> </w:t>
            </w:r>
            <w:r w:rsidR="00496E99" w:rsidRPr="00431558">
              <w:rPr>
                <w:sz w:val="20"/>
                <w:szCs w:val="20"/>
              </w:rPr>
              <w:t>la composante doit</w:t>
            </w:r>
            <w:r w:rsidR="005407EF">
              <w:rPr>
                <w:sz w:val="20"/>
                <w:szCs w:val="20"/>
              </w:rPr>
              <w:t xml:space="preserve"> faire</w:t>
            </w:r>
            <w:r w:rsidR="00496E99" w:rsidRPr="00431558">
              <w:rPr>
                <w:sz w:val="20"/>
                <w:szCs w:val="20"/>
              </w:rPr>
              <w:t xml:space="preserve"> </w:t>
            </w:r>
            <w:r w:rsidR="000B6272">
              <w:rPr>
                <w:sz w:val="20"/>
                <w:szCs w:val="20"/>
              </w:rPr>
              <w:t>savoir</w:t>
            </w:r>
            <w:r w:rsidR="00496E99" w:rsidRPr="00431558">
              <w:rPr>
                <w:sz w:val="20"/>
                <w:szCs w:val="20"/>
              </w:rPr>
              <w:t xml:space="preserve"> </w:t>
            </w:r>
            <w:r w:rsidR="0008041A">
              <w:rPr>
                <w:sz w:val="20"/>
                <w:szCs w:val="20"/>
              </w:rPr>
              <w:t>dans les deux semaines</w:t>
            </w:r>
            <w:r w:rsidR="00496E99" w:rsidRPr="00431558">
              <w:rPr>
                <w:sz w:val="20"/>
                <w:szCs w:val="20"/>
              </w:rPr>
              <w:t xml:space="preserve"> </w:t>
            </w:r>
            <w:r w:rsidR="0008041A">
              <w:rPr>
                <w:sz w:val="20"/>
                <w:szCs w:val="20"/>
              </w:rPr>
              <w:t>au plus tard</w:t>
            </w:r>
            <w:r w:rsidR="005407EF">
              <w:rPr>
                <w:sz w:val="20"/>
                <w:szCs w:val="20"/>
              </w:rPr>
              <w:t>,</w:t>
            </w:r>
            <w:r w:rsidR="0008041A">
              <w:rPr>
                <w:sz w:val="20"/>
                <w:szCs w:val="20"/>
              </w:rPr>
              <w:t xml:space="preserve"> </w:t>
            </w:r>
            <w:r w:rsidR="00496E99" w:rsidRPr="00431558">
              <w:rPr>
                <w:sz w:val="20"/>
                <w:szCs w:val="20"/>
              </w:rPr>
              <w:t>le fait qu’elle est dans l’impossibilité de mettre en place tout ou partie des aménagements préconisés</w:t>
            </w:r>
          </w:p>
          <w:p w:rsidR="009E56AC" w:rsidRPr="00431558" w:rsidRDefault="007B1305" w:rsidP="00284051">
            <w:pPr>
              <w:pStyle w:val="Paragraphedeliste"/>
              <w:numPr>
                <w:ilvl w:val="0"/>
                <w:numId w:val="6"/>
              </w:numPr>
              <w:tabs>
                <w:tab w:val="left" w:pos="1026"/>
              </w:tabs>
              <w:ind w:left="708"/>
              <w:jc w:val="both"/>
              <w:rPr>
                <w:sz w:val="20"/>
                <w:szCs w:val="20"/>
              </w:rPr>
            </w:pPr>
            <w:r w:rsidRPr="00431558">
              <w:rPr>
                <w:sz w:val="20"/>
                <w:szCs w:val="20"/>
              </w:rPr>
              <w:t>trois à quatre semaines avant les examens terminaux, un point est fait avec chaque composante au cours duquel elles font part de leurs besoins permettant la mise en place des aménagements</w:t>
            </w:r>
          </w:p>
          <w:p w:rsidR="00DD462C" w:rsidRPr="00431558" w:rsidRDefault="00DD462C" w:rsidP="00DD462C">
            <w:pPr>
              <w:tabs>
                <w:tab w:val="left" w:pos="1026"/>
              </w:tabs>
              <w:jc w:val="both"/>
              <w:rPr>
                <w:sz w:val="20"/>
                <w:szCs w:val="20"/>
              </w:rPr>
            </w:pPr>
          </w:p>
        </w:tc>
      </w:tr>
      <w:tr w:rsidR="003165DD" w:rsidRPr="00431558" w:rsidTr="00DD462C">
        <w:tc>
          <w:tcPr>
            <w:tcW w:w="4395" w:type="dxa"/>
          </w:tcPr>
          <w:p w:rsidR="00A72995" w:rsidRPr="00431558" w:rsidRDefault="00A72995" w:rsidP="00A72995">
            <w:pPr>
              <w:jc w:val="center"/>
              <w:rPr>
                <w:rFonts w:cs="Arial"/>
                <w:b/>
                <w:sz w:val="28"/>
                <w:szCs w:val="20"/>
              </w:rPr>
            </w:pPr>
            <w:r w:rsidRPr="00431558">
              <w:rPr>
                <w:rFonts w:cs="Arial"/>
                <w:b/>
                <w:sz w:val="28"/>
                <w:szCs w:val="20"/>
              </w:rPr>
              <w:t>Date limite de déclaration de la situation auprès du service des Etudiants en Situation de Handicap ou du Service de Santé Universitaire</w:t>
            </w:r>
          </w:p>
          <w:p w:rsidR="00A72995" w:rsidRPr="00431558" w:rsidRDefault="00A72995" w:rsidP="00DD462C">
            <w:pPr>
              <w:rPr>
                <w:sz w:val="20"/>
                <w:szCs w:val="20"/>
              </w:rPr>
            </w:pPr>
          </w:p>
          <w:p w:rsidR="00A124A5" w:rsidRPr="00431558" w:rsidRDefault="00A124A5" w:rsidP="00A72995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3165DD" w:rsidRPr="00431558" w:rsidRDefault="0003557A" w:rsidP="00DD462C">
            <w:pPr>
              <w:pStyle w:val="Paragraphedeliste"/>
              <w:numPr>
                <w:ilvl w:val="0"/>
                <w:numId w:val="4"/>
              </w:numPr>
              <w:tabs>
                <w:tab w:val="left" w:pos="459"/>
              </w:tabs>
              <w:ind w:left="317" w:hanging="142"/>
              <w:jc w:val="both"/>
              <w:rPr>
                <w:sz w:val="20"/>
                <w:szCs w:val="20"/>
              </w:rPr>
            </w:pPr>
            <w:r w:rsidRPr="00431558">
              <w:rPr>
                <w:sz w:val="20"/>
                <w:szCs w:val="20"/>
              </w:rPr>
              <w:t>1</w:t>
            </w:r>
            <w:r w:rsidRPr="00431558">
              <w:rPr>
                <w:sz w:val="20"/>
                <w:szCs w:val="20"/>
                <w:vertAlign w:val="superscript"/>
              </w:rPr>
              <w:t>er</w:t>
            </w:r>
            <w:r w:rsidRPr="00431558">
              <w:rPr>
                <w:sz w:val="20"/>
                <w:szCs w:val="20"/>
              </w:rPr>
              <w:t xml:space="preserve"> semestre : 15/1</w:t>
            </w:r>
            <w:r w:rsidR="00DD462C" w:rsidRPr="00431558">
              <w:rPr>
                <w:sz w:val="20"/>
                <w:szCs w:val="20"/>
              </w:rPr>
              <w:t>0</w:t>
            </w:r>
            <w:r w:rsidRPr="00431558">
              <w:rPr>
                <w:sz w:val="20"/>
                <w:szCs w:val="20"/>
              </w:rPr>
              <w:t xml:space="preserve"> de l’année universitaire en cours</w:t>
            </w:r>
          </w:p>
          <w:p w:rsidR="0003557A" w:rsidRPr="00431558" w:rsidRDefault="0003557A" w:rsidP="00DD462C">
            <w:pPr>
              <w:pStyle w:val="Paragraphedeliste"/>
              <w:numPr>
                <w:ilvl w:val="0"/>
                <w:numId w:val="4"/>
              </w:numPr>
              <w:tabs>
                <w:tab w:val="left" w:pos="459"/>
              </w:tabs>
              <w:ind w:left="317" w:hanging="142"/>
              <w:jc w:val="both"/>
              <w:rPr>
                <w:sz w:val="20"/>
                <w:szCs w:val="20"/>
              </w:rPr>
            </w:pPr>
            <w:r w:rsidRPr="00431558">
              <w:rPr>
                <w:sz w:val="20"/>
                <w:szCs w:val="20"/>
              </w:rPr>
              <w:t>2</w:t>
            </w:r>
            <w:r w:rsidRPr="00431558">
              <w:rPr>
                <w:sz w:val="20"/>
                <w:szCs w:val="20"/>
                <w:vertAlign w:val="superscript"/>
              </w:rPr>
              <w:t>ème</w:t>
            </w:r>
            <w:r w:rsidR="00141297" w:rsidRPr="00431558">
              <w:rPr>
                <w:sz w:val="20"/>
                <w:szCs w:val="20"/>
              </w:rPr>
              <w:t xml:space="preserve"> semestre : 15/0</w:t>
            </w:r>
            <w:r w:rsidR="00DD462C" w:rsidRPr="00431558">
              <w:rPr>
                <w:sz w:val="20"/>
                <w:szCs w:val="20"/>
              </w:rPr>
              <w:t>2</w:t>
            </w:r>
            <w:r w:rsidR="00141297" w:rsidRPr="00431558">
              <w:rPr>
                <w:sz w:val="20"/>
                <w:szCs w:val="20"/>
              </w:rPr>
              <w:t xml:space="preserve"> </w:t>
            </w:r>
            <w:r w:rsidRPr="00431558">
              <w:rPr>
                <w:sz w:val="20"/>
                <w:szCs w:val="20"/>
              </w:rPr>
              <w:t>de l’année universitaire en cours</w:t>
            </w:r>
          </w:p>
          <w:p w:rsidR="009E56AC" w:rsidRPr="00431558" w:rsidRDefault="009E56AC" w:rsidP="00DD462C">
            <w:pPr>
              <w:tabs>
                <w:tab w:val="left" w:pos="459"/>
              </w:tabs>
              <w:ind w:left="317" w:hanging="142"/>
              <w:jc w:val="both"/>
              <w:rPr>
                <w:sz w:val="20"/>
                <w:szCs w:val="20"/>
              </w:rPr>
            </w:pPr>
          </w:p>
          <w:p w:rsidR="0003557A" w:rsidRPr="00431558" w:rsidRDefault="0003557A" w:rsidP="00DD462C">
            <w:pPr>
              <w:pStyle w:val="Paragraphedeliste"/>
              <w:numPr>
                <w:ilvl w:val="0"/>
                <w:numId w:val="4"/>
              </w:numPr>
              <w:tabs>
                <w:tab w:val="left" w:pos="459"/>
              </w:tabs>
              <w:ind w:left="317" w:hanging="142"/>
              <w:jc w:val="both"/>
              <w:rPr>
                <w:sz w:val="20"/>
                <w:szCs w:val="20"/>
              </w:rPr>
            </w:pPr>
            <w:r w:rsidRPr="00431558">
              <w:rPr>
                <w:sz w:val="20"/>
                <w:szCs w:val="20"/>
              </w:rPr>
              <w:t>Les situations relevant de l’Article L114 du C</w:t>
            </w:r>
            <w:r w:rsidR="00141297" w:rsidRPr="00431558">
              <w:rPr>
                <w:sz w:val="20"/>
                <w:szCs w:val="20"/>
              </w:rPr>
              <w:t>ode de l’</w:t>
            </w:r>
            <w:r w:rsidRPr="00431558">
              <w:rPr>
                <w:sz w:val="20"/>
                <w:szCs w:val="20"/>
              </w:rPr>
              <w:t>A</w:t>
            </w:r>
            <w:r w:rsidR="00141297" w:rsidRPr="00431558">
              <w:rPr>
                <w:sz w:val="20"/>
                <w:szCs w:val="20"/>
              </w:rPr>
              <w:t xml:space="preserve">ction </w:t>
            </w:r>
            <w:r w:rsidRPr="00431558">
              <w:rPr>
                <w:sz w:val="20"/>
                <w:szCs w:val="20"/>
              </w:rPr>
              <w:t>S</w:t>
            </w:r>
            <w:r w:rsidR="00141297" w:rsidRPr="00431558">
              <w:rPr>
                <w:sz w:val="20"/>
                <w:szCs w:val="20"/>
              </w:rPr>
              <w:t xml:space="preserve">ociale et des </w:t>
            </w:r>
            <w:r w:rsidRPr="00431558">
              <w:rPr>
                <w:sz w:val="20"/>
                <w:szCs w:val="20"/>
              </w:rPr>
              <w:t>F</w:t>
            </w:r>
            <w:r w:rsidR="00141297" w:rsidRPr="00431558">
              <w:rPr>
                <w:sz w:val="20"/>
                <w:szCs w:val="20"/>
              </w:rPr>
              <w:t>amilles</w:t>
            </w:r>
            <w:r w:rsidRPr="00431558">
              <w:rPr>
                <w:sz w:val="20"/>
                <w:szCs w:val="20"/>
              </w:rPr>
              <w:t xml:space="preserve"> survenant</w:t>
            </w:r>
            <w:r w:rsidR="009E56AC" w:rsidRPr="00431558">
              <w:rPr>
                <w:sz w:val="20"/>
                <w:szCs w:val="20"/>
              </w:rPr>
              <w:t xml:space="preserve"> au-delà de ces délais </w:t>
            </w:r>
            <w:r w:rsidR="00141297" w:rsidRPr="00431558">
              <w:rPr>
                <w:sz w:val="20"/>
                <w:szCs w:val="20"/>
              </w:rPr>
              <w:t xml:space="preserve">sont </w:t>
            </w:r>
            <w:r w:rsidR="009E56AC" w:rsidRPr="00431558">
              <w:rPr>
                <w:sz w:val="20"/>
                <w:szCs w:val="20"/>
              </w:rPr>
              <w:t>prise</w:t>
            </w:r>
            <w:r w:rsidR="00141297" w:rsidRPr="00431558">
              <w:rPr>
                <w:sz w:val="20"/>
                <w:szCs w:val="20"/>
              </w:rPr>
              <w:t>s</w:t>
            </w:r>
            <w:r w:rsidR="009E56AC" w:rsidRPr="00431558">
              <w:rPr>
                <w:sz w:val="20"/>
                <w:szCs w:val="20"/>
              </w:rPr>
              <w:t xml:space="preserve"> en compte dans la mesure des possibilités des services (délais, moyens et solutions doivent rester raisonnables)</w:t>
            </w:r>
          </w:p>
          <w:p w:rsidR="009E56AC" w:rsidRPr="00431558" w:rsidRDefault="009E56AC" w:rsidP="00DD462C">
            <w:pPr>
              <w:tabs>
                <w:tab w:val="left" w:pos="459"/>
              </w:tabs>
              <w:ind w:left="317" w:hanging="142"/>
              <w:jc w:val="both"/>
              <w:rPr>
                <w:sz w:val="20"/>
                <w:szCs w:val="20"/>
              </w:rPr>
            </w:pPr>
          </w:p>
        </w:tc>
      </w:tr>
      <w:tr w:rsidR="003165DD" w:rsidRPr="00431558" w:rsidTr="00DD462C">
        <w:trPr>
          <w:trHeight w:val="1664"/>
        </w:trPr>
        <w:tc>
          <w:tcPr>
            <w:tcW w:w="4395" w:type="dxa"/>
          </w:tcPr>
          <w:p w:rsidR="00A72995" w:rsidRPr="00431558" w:rsidRDefault="00A72995" w:rsidP="00A72995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A72995" w:rsidRPr="00431558" w:rsidRDefault="00A72995" w:rsidP="00A72995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A72995" w:rsidRPr="00431558" w:rsidRDefault="00A72995" w:rsidP="00A72995">
            <w:pPr>
              <w:jc w:val="center"/>
              <w:rPr>
                <w:rFonts w:cs="Arial"/>
                <w:b/>
                <w:sz w:val="28"/>
                <w:szCs w:val="20"/>
              </w:rPr>
            </w:pPr>
            <w:r w:rsidRPr="00431558">
              <w:rPr>
                <w:rFonts w:cs="Arial"/>
                <w:b/>
                <w:sz w:val="28"/>
                <w:szCs w:val="20"/>
              </w:rPr>
              <w:t>Aménagements disponibles</w:t>
            </w:r>
          </w:p>
          <w:p w:rsidR="003165DD" w:rsidRPr="00431558" w:rsidRDefault="003165DD" w:rsidP="00DD462C">
            <w:pPr>
              <w:rPr>
                <w:sz w:val="20"/>
                <w:szCs w:val="20"/>
              </w:rPr>
            </w:pPr>
          </w:p>
          <w:p w:rsidR="00A124A5" w:rsidRPr="00431558" w:rsidRDefault="00A124A5" w:rsidP="00DD462C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3165DD" w:rsidRPr="00431558" w:rsidRDefault="009E56AC" w:rsidP="00DD462C">
            <w:pPr>
              <w:pStyle w:val="Paragraphedeliste"/>
              <w:numPr>
                <w:ilvl w:val="0"/>
                <w:numId w:val="5"/>
              </w:numPr>
              <w:tabs>
                <w:tab w:val="left" w:pos="459"/>
              </w:tabs>
              <w:ind w:left="317" w:hanging="142"/>
              <w:jc w:val="both"/>
              <w:rPr>
                <w:sz w:val="20"/>
                <w:szCs w:val="20"/>
              </w:rPr>
            </w:pPr>
            <w:r w:rsidRPr="00431558">
              <w:rPr>
                <w:sz w:val="20"/>
                <w:szCs w:val="20"/>
              </w:rPr>
              <w:t>Aménagements à la discrétion de la préconisation du médecin.</w:t>
            </w:r>
          </w:p>
          <w:p w:rsidR="00897EC7" w:rsidRPr="00431558" w:rsidRDefault="00897EC7" w:rsidP="00DD462C">
            <w:pPr>
              <w:pStyle w:val="Paragraphedeliste"/>
              <w:tabs>
                <w:tab w:val="left" w:pos="459"/>
              </w:tabs>
              <w:ind w:left="317"/>
              <w:jc w:val="both"/>
              <w:rPr>
                <w:sz w:val="20"/>
                <w:szCs w:val="20"/>
              </w:rPr>
            </w:pPr>
          </w:p>
          <w:p w:rsidR="009E56AC" w:rsidRPr="00431558" w:rsidRDefault="009E56AC" w:rsidP="00DD462C">
            <w:pPr>
              <w:pStyle w:val="Paragraphedeliste"/>
              <w:numPr>
                <w:ilvl w:val="0"/>
                <w:numId w:val="5"/>
              </w:numPr>
              <w:tabs>
                <w:tab w:val="left" w:pos="459"/>
              </w:tabs>
              <w:ind w:left="317" w:hanging="142"/>
              <w:jc w:val="both"/>
              <w:rPr>
                <w:sz w:val="20"/>
                <w:szCs w:val="20"/>
              </w:rPr>
            </w:pPr>
            <w:r w:rsidRPr="00431558">
              <w:rPr>
                <w:sz w:val="20"/>
                <w:szCs w:val="20"/>
              </w:rPr>
              <w:t xml:space="preserve">Les </w:t>
            </w:r>
            <w:r w:rsidR="00141297" w:rsidRPr="00431558">
              <w:rPr>
                <w:sz w:val="20"/>
                <w:szCs w:val="20"/>
              </w:rPr>
              <w:t>composantes</w:t>
            </w:r>
            <w:r w:rsidRPr="00431558">
              <w:rPr>
                <w:sz w:val="20"/>
                <w:szCs w:val="20"/>
              </w:rPr>
              <w:t xml:space="preserve"> peuvent toujours compléter cette préconisation dans un sens plus favorable à l’étudiant</w:t>
            </w:r>
          </w:p>
          <w:p w:rsidR="00897EC7" w:rsidRPr="00431558" w:rsidRDefault="00897EC7" w:rsidP="00DD462C">
            <w:pPr>
              <w:pStyle w:val="Paragraphedeliste"/>
              <w:tabs>
                <w:tab w:val="left" w:pos="459"/>
              </w:tabs>
              <w:ind w:left="317"/>
              <w:jc w:val="both"/>
              <w:rPr>
                <w:sz w:val="20"/>
                <w:szCs w:val="20"/>
              </w:rPr>
            </w:pPr>
          </w:p>
          <w:p w:rsidR="00CB2CF5" w:rsidRPr="00431558" w:rsidRDefault="009E56AC" w:rsidP="00DD462C">
            <w:pPr>
              <w:pStyle w:val="Paragraphedeliste"/>
              <w:numPr>
                <w:ilvl w:val="0"/>
                <w:numId w:val="5"/>
              </w:numPr>
              <w:tabs>
                <w:tab w:val="left" w:pos="459"/>
              </w:tabs>
              <w:ind w:left="317" w:hanging="142"/>
              <w:jc w:val="both"/>
              <w:rPr>
                <w:sz w:val="20"/>
                <w:szCs w:val="20"/>
              </w:rPr>
            </w:pPr>
            <w:r w:rsidRPr="00431558">
              <w:rPr>
                <w:sz w:val="20"/>
                <w:szCs w:val="20"/>
              </w:rPr>
              <w:t xml:space="preserve">Aménagements disponibles : </w:t>
            </w:r>
            <w:r w:rsidR="00897EC7" w:rsidRPr="00431558">
              <w:rPr>
                <w:sz w:val="20"/>
                <w:szCs w:val="20"/>
              </w:rPr>
              <w:t>voir en annexe</w:t>
            </w:r>
          </w:p>
        </w:tc>
      </w:tr>
      <w:tr w:rsidR="003165DD" w:rsidRPr="00431558" w:rsidTr="00DD462C">
        <w:trPr>
          <w:trHeight w:val="837"/>
        </w:trPr>
        <w:tc>
          <w:tcPr>
            <w:tcW w:w="4395" w:type="dxa"/>
          </w:tcPr>
          <w:p w:rsidR="00A72995" w:rsidRPr="00431558" w:rsidRDefault="00A72995" w:rsidP="00A72995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3165DD" w:rsidRPr="00431558" w:rsidRDefault="00EC17A4" w:rsidP="00EC17A4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b/>
                <w:sz w:val="28"/>
                <w:szCs w:val="20"/>
              </w:rPr>
              <w:t>Demande de régime spécifique d’étude</w:t>
            </w:r>
          </w:p>
        </w:tc>
        <w:tc>
          <w:tcPr>
            <w:tcW w:w="6379" w:type="dxa"/>
          </w:tcPr>
          <w:p w:rsidR="003165DD" w:rsidRPr="00431558" w:rsidRDefault="003165DD" w:rsidP="00DD462C">
            <w:pPr>
              <w:ind w:left="175" w:hanging="142"/>
              <w:rPr>
                <w:sz w:val="20"/>
                <w:szCs w:val="20"/>
              </w:rPr>
            </w:pPr>
          </w:p>
          <w:p w:rsidR="00D03CAB" w:rsidRDefault="00D03CAB" w:rsidP="00D03CAB">
            <w:pPr>
              <w:tabs>
                <w:tab w:val="left" w:pos="459"/>
              </w:tabs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Une demande de Régime Spécifique d’Etude devra être effectuée</w:t>
            </w:r>
            <w:r w:rsidRPr="00E27B35">
              <w:rPr>
                <w:sz w:val="18"/>
                <w:szCs w:val="20"/>
              </w:rPr>
              <w:t xml:space="preserve"> afin de spécifier les périodes d’autorisations d’absences justifiées ainsi que le mode d’évaluation </w:t>
            </w:r>
            <w:r w:rsidRPr="00E27B35">
              <w:rPr>
                <w:b/>
                <w:bCs/>
                <w:sz w:val="18"/>
                <w:szCs w:val="20"/>
                <w:u w:val="single"/>
              </w:rPr>
              <w:t>du contrôle continu</w:t>
            </w:r>
            <w:r w:rsidRPr="00E27B35">
              <w:rPr>
                <w:sz w:val="18"/>
                <w:szCs w:val="20"/>
              </w:rPr>
              <w:t xml:space="preserve"> des </w:t>
            </w:r>
            <w:proofErr w:type="spellStart"/>
            <w:r w:rsidRPr="00E27B35">
              <w:rPr>
                <w:sz w:val="18"/>
                <w:szCs w:val="20"/>
              </w:rPr>
              <w:t>UEs</w:t>
            </w:r>
            <w:proofErr w:type="spellEnd"/>
            <w:r w:rsidRPr="00E27B35">
              <w:rPr>
                <w:sz w:val="18"/>
                <w:szCs w:val="20"/>
              </w:rPr>
              <w:t>/</w:t>
            </w:r>
            <w:proofErr w:type="spellStart"/>
            <w:r w:rsidRPr="00E27B35">
              <w:rPr>
                <w:sz w:val="18"/>
                <w:szCs w:val="20"/>
              </w:rPr>
              <w:t>ECs</w:t>
            </w:r>
            <w:proofErr w:type="spellEnd"/>
            <w:r w:rsidRPr="00E27B35">
              <w:rPr>
                <w:sz w:val="18"/>
                <w:szCs w:val="20"/>
              </w:rPr>
              <w:t xml:space="preserve"> concernées selon les MCC. </w:t>
            </w:r>
          </w:p>
          <w:p w:rsidR="00D03CAB" w:rsidRPr="00E27B35" w:rsidRDefault="00D03CAB" w:rsidP="00D03CAB">
            <w:pPr>
              <w:tabs>
                <w:tab w:val="left" w:pos="459"/>
              </w:tabs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L’étudiant devra choisir, après concertation auprès des enseignants concernés, </w:t>
            </w:r>
            <w:r>
              <w:rPr>
                <w:sz w:val="18"/>
                <w:szCs w:val="20"/>
              </w:rPr>
              <w:lastRenderedPageBreak/>
              <w:t>entre deux modes dévaluation : contrôle continu aménagé ou organisation d’une épreuve terminale pendant la période des EXAMENS planifiée au sein de la composante pour chaque UE/EC concernée.</w:t>
            </w:r>
          </w:p>
          <w:p w:rsidR="00EC17A4" w:rsidRDefault="00D03CAB" w:rsidP="00D03CAB">
            <w:pPr>
              <w:jc w:val="both"/>
              <w:rPr>
                <w:bCs/>
                <w:sz w:val="18"/>
                <w:szCs w:val="20"/>
              </w:rPr>
            </w:pPr>
            <w:r w:rsidRPr="00E27B35">
              <w:rPr>
                <w:bCs/>
                <w:sz w:val="18"/>
                <w:szCs w:val="20"/>
              </w:rPr>
              <w:t>Ce contrat peut se traduire par certains aménagements lors des EXAMENS (ex :</w:t>
            </w:r>
            <w:r>
              <w:rPr>
                <w:bCs/>
                <w:sz w:val="18"/>
                <w:szCs w:val="20"/>
              </w:rPr>
              <w:t xml:space="preserve"> </w:t>
            </w:r>
            <w:r w:rsidR="006F7B27">
              <w:rPr>
                <w:bCs/>
                <w:sz w:val="18"/>
                <w:szCs w:val="20"/>
              </w:rPr>
              <w:t xml:space="preserve">tiers-temps </w:t>
            </w:r>
            <w:bookmarkStart w:id="0" w:name="_GoBack"/>
            <w:bookmarkEnd w:id="0"/>
            <w:r w:rsidRPr="00E27B35">
              <w:rPr>
                <w:bCs/>
                <w:sz w:val="18"/>
                <w:szCs w:val="20"/>
              </w:rPr>
              <w:t>supplémentaire, composition sur ordinateur, ...) mais ne permet</w:t>
            </w:r>
            <w:r>
              <w:rPr>
                <w:bCs/>
                <w:sz w:val="18"/>
                <w:szCs w:val="20"/>
              </w:rPr>
              <w:t xml:space="preserve"> </w:t>
            </w:r>
            <w:r w:rsidRPr="00E27B35">
              <w:rPr>
                <w:bCs/>
                <w:sz w:val="18"/>
                <w:szCs w:val="20"/>
              </w:rPr>
              <w:t>pas de modifica</w:t>
            </w:r>
            <w:r>
              <w:rPr>
                <w:bCs/>
                <w:sz w:val="18"/>
                <w:szCs w:val="20"/>
              </w:rPr>
              <w:t>tion du calendrier des épreuves</w:t>
            </w:r>
            <w:r w:rsidR="00EC17A4" w:rsidRPr="00E27B35">
              <w:rPr>
                <w:bCs/>
                <w:sz w:val="18"/>
                <w:szCs w:val="20"/>
              </w:rPr>
              <w:t>.</w:t>
            </w:r>
          </w:p>
          <w:p w:rsidR="0036052D" w:rsidRPr="00431558" w:rsidRDefault="0036052D" w:rsidP="00DD462C">
            <w:pPr>
              <w:ind w:left="175" w:hanging="142"/>
              <w:jc w:val="center"/>
              <w:rPr>
                <w:sz w:val="20"/>
                <w:szCs w:val="20"/>
              </w:rPr>
            </w:pPr>
          </w:p>
        </w:tc>
      </w:tr>
      <w:tr w:rsidR="003E5CE2" w:rsidRPr="00431558" w:rsidTr="00DD462C">
        <w:trPr>
          <w:trHeight w:val="837"/>
        </w:trPr>
        <w:tc>
          <w:tcPr>
            <w:tcW w:w="4395" w:type="dxa"/>
          </w:tcPr>
          <w:p w:rsidR="003E5CE2" w:rsidRPr="00431558" w:rsidRDefault="00284051" w:rsidP="00DD462C">
            <w:pPr>
              <w:rPr>
                <w:rFonts w:cs="Arial"/>
                <w:b/>
                <w:sz w:val="28"/>
                <w:szCs w:val="28"/>
              </w:rPr>
            </w:pPr>
            <w:r w:rsidRPr="00431558">
              <w:rPr>
                <w:rFonts w:cs="Arial"/>
                <w:b/>
                <w:sz w:val="28"/>
                <w:szCs w:val="28"/>
              </w:rPr>
              <w:lastRenderedPageBreak/>
              <w:t>Accès à la plateforme handicap</w:t>
            </w:r>
          </w:p>
        </w:tc>
        <w:tc>
          <w:tcPr>
            <w:tcW w:w="6379" w:type="dxa"/>
          </w:tcPr>
          <w:p w:rsidR="003E5CE2" w:rsidRPr="00431558" w:rsidRDefault="00284051" w:rsidP="00284051">
            <w:pPr>
              <w:ind w:left="141" w:hanging="142"/>
              <w:rPr>
                <w:sz w:val="20"/>
                <w:szCs w:val="20"/>
              </w:rPr>
            </w:pPr>
            <w:r w:rsidRPr="00431558">
              <w:rPr>
                <w:sz w:val="20"/>
                <w:szCs w:val="20"/>
              </w:rPr>
              <w:t>Se connecter à l’E</w:t>
            </w:r>
            <w:r w:rsidR="00825F77" w:rsidRPr="00431558">
              <w:rPr>
                <w:sz w:val="20"/>
                <w:szCs w:val="20"/>
              </w:rPr>
              <w:t>space Numérique de Travail</w:t>
            </w:r>
          </w:p>
          <w:p w:rsidR="00284051" w:rsidRPr="00431558" w:rsidRDefault="00284051" w:rsidP="00284051">
            <w:pPr>
              <w:rPr>
                <w:sz w:val="20"/>
                <w:szCs w:val="20"/>
              </w:rPr>
            </w:pPr>
            <w:r w:rsidRPr="00431558">
              <w:rPr>
                <w:sz w:val="20"/>
                <w:szCs w:val="20"/>
              </w:rPr>
              <w:t xml:space="preserve">Cliquer sur </w:t>
            </w:r>
            <w:r w:rsidR="00052B59" w:rsidRPr="00431558">
              <w:rPr>
                <w:sz w:val="20"/>
                <w:szCs w:val="20"/>
              </w:rPr>
              <w:t>« </w:t>
            </w:r>
            <w:r w:rsidRPr="00431558">
              <w:rPr>
                <w:sz w:val="20"/>
                <w:szCs w:val="20"/>
              </w:rPr>
              <w:t>Handicap : demande d’aménagements</w:t>
            </w:r>
            <w:r w:rsidR="00052B59" w:rsidRPr="00431558">
              <w:rPr>
                <w:sz w:val="20"/>
                <w:szCs w:val="20"/>
              </w:rPr>
              <w:t> »</w:t>
            </w:r>
            <w:r w:rsidRPr="00431558">
              <w:rPr>
                <w:sz w:val="20"/>
                <w:szCs w:val="20"/>
              </w:rPr>
              <w:t xml:space="preserve"> (rubrique Scolarité &amp; vie étudiante)</w:t>
            </w:r>
            <w:r w:rsidR="00052B59" w:rsidRPr="00431558">
              <w:rPr>
                <w:sz w:val="20"/>
                <w:szCs w:val="20"/>
              </w:rPr>
              <w:t xml:space="preserve"> puis « Faire une demande »</w:t>
            </w:r>
          </w:p>
        </w:tc>
      </w:tr>
    </w:tbl>
    <w:p w:rsidR="001244AD" w:rsidRPr="00431558" w:rsidRDefault="001244AD"/>
    <w:p w:rsidR="00897EC7" w:rsidRPr="00431558" w:rsidRDefault="00897EC7">
      <w:r w:rsidRPr="00431558">
        <w:br w:type="page"/>
      </w:r>
    </w:p>
    <w:p w:rsidR="00CB2CF5" w:rsidRPr="00431558" w:rsidRDefault="00897EC7">
      <w:r w:rsidRPr="00431558">
        <w:lastRenderedPageBreak/>
        <w:t>ANNEXE</w:t>
      </w:r>
      <w:r w:rsidR="0036052D" w:rsidRPr="00431558">
        <w:t> : Liste des aménagements proposés à l’</w:t>
      </w:r>
      <w:r w:rsidR="00141297" w:rsidRPr="00431558">
        <w:t>université</w:t>
      </w:r>
    </w:p>
    <w:tbl>
      <w:tblPr>
        <w:tblW w:w="9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3"/>
        <w:gridCol w:w="303"/>
        <w:gridCol w:w="5764"/>
      </w:tblGrid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Aménagement du parcours de formation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Aménagement du cursus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Plan d'accompagnement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Soutien pédagogique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Tutorat méthodologique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Aide humaine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Preneur de notes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autre aide humaine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Aménagement des examens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166FF5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INS</w:t>
            </w:r>
            <w:r w:rsidR="00D669DF"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TRUCTIONS ÉCRITES (Aide à la transcription)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8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INSTRUCTIONS ORALES (Aide à la transcription)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SECRETAIRE (ÉPREUVES ÉCRITES)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10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AGRANDISSEMENT DU SUJET en GROS CARACTÈRES (Aide à la transcription)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11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PRORATA DES PAUSES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12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1/3 TEMPS  ÉPREUVES ÉCRITES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13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1/3 TEMPS  ÉPREUVES ORALES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14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1/4 TEMPS ÉPREUVES ÉCRITES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15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1/4 TEMPS ÉPREUVES ORALES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16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AUTRES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17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COMPO SALLE PARTICULIERE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18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AUTORISATION SORTIE SALLE EXAM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19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ORDI PERSO EXAMENS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20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ORDI UPJV EXAMENS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21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LOGICIELS EXAMENS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Aménagement de la scolarité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22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Aide à la manipulation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23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Codage LPC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24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Interprétariat LSF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25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Autres aides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26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STYLO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27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LOUPE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28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ENREGISTREUR PERSO COURS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29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ENREGISTREUR UPJV COURS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30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PUPITRE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31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LOGICIELS COURS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32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ORDI UPJV COURS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33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ORDI PERSO COURS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34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ACCES PARKING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35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ACCES LOCAUX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36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PLACE AU 1ER RANG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37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GRATUITÉ DES PHOTOCOPIES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Autres mesures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38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MESURES FACILITATRICES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39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AUTORISATION D'ABSENCE</w:t>
            </w:r>
          </w:p>
        </w:tc>
      </w:tr>
      <w:tr w:rsidR="00D669DF" w:rsidRPr="00431558" w:rsidTr="00D669DF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40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69DF" w:rsidRPr="00431558" w:rsidRDefault="00D669DF" w:rsidP="00D669DF">
            <w:pPr>
              <w:spacing w:after="0" w:line="240" w:lineRule="auto"/>
              <w:rPr>
                <w:rFonts w:eastAsia="Times New Roman" w:cs="Times New Roman"/>
                <w:sz w:val="16"/>
                <w:szCs w:val="18"/>
                <w:lang w:eastAsia="fr-FR"/>
              </w:rPr>
            </w:pPr>
            <w:r w:rsidRPr="00431558">
              <w:rPr>
                <w:rFonts w:eastAsia="Times New Roman" w:cs="Times New Roman"/>
                <w:sz w:val="16"/>
                <w:szCs w:val="18"/>
                <w:lang w:eastAsia="fr-FR"/>
              </w:rPr>
              <w:t>AUTRES</w:t>
            </w:r>
          </w:p>
        </w:tc>
      </w:tr>
    </w:tbl>
    <w:p w:rsidR="00897EC7" w:rsidRPr="00431558" w:rsidRDefault="00897EC7"/>
    <w:sectPr w:rsidR="00897EC7" w:rsidRPr="00431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8D"/>
      </v:shape>
    </w:pict>
  </w:numPicBullet>
  <w:abstractNum w:abstractNumId="0">
    <w:nsid w:val="0DC152E8"/>
    <w:multiLevelType w:val="hybridMultilevel"/>
    <w:tmpl w:val="CAB657F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C4A90"/>
    <w:multiLevelType w:val="hybridMultilevel"/>
    <w:tmpl w:val="811CA63C"/>
    <w:lvl w:ilvl="0" w:tplc="040C0007">
      <w:start w:val="1"/>
      <w:numFmt w:val="bullet"/>
      <w:lvlText w:val=""/>
      <w:lvlPicBulletId w:val="0"/>
      <w:lvlJc w:val="left"/>
      <w:pPr>
        <w:ind w:left="8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1D143966"/>
    <w:multiLevelType w:val="hybridMultilevel"/>
    <w:tmpl w:val="65725EFE"/>
    <w:lvl w:ilvl="0" w:tplc="040C0005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3">
    <w:nsid w:val="3B725218"/>
    <w:multiLevelType w:val="hybridMultilevel"/>
    <w:tmpl w:val="59D818D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EE04D0"/>
    <w:multiLevelType w:val="hybridMultilevel"/>
    <w:tmpl w:val="AB684FE4"/>
    <w:lvl w:ilvl="0" w:tplc="040C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>
    <w:nsid w:val="53936486"/>
    <w:multiLevelType w:val="hybridMultilevel"/>
    <w:tmpl w:val="68B20CC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5DD"/>
    <w:rsid w:val="0003557A"/>
    <w:rsid w:val="00052B59"/>
    <w:rsid w:val="0008041A"/>
    <w:rsid w:val="000B6272"/>
    <w:rsid w:val="001244AD"/>
    <w:rsid w:val="00141297"/>
    <w:rsid w:val="00141978"/>
    <w:rsid w:val="00154956"/>
    <w:rsid w:val="00163FD5"/>
    <w:rsid w:val="00166FF5"/>
    <w:rsid w:val="00284051"/>
    <w:rsid w:val="003165DD"/>
    <w:rsid w:val="0036052D"/>
    <w:rsid w:val="003E5CE2"/>
    <w:rsid w:val="003F3931"/>
    <w:rsid w:val="00431558"/>
    <w:rsid w:val="00496CA0"/>
    <w:rsid w:val="00496E99"/>
    <w:rsid w:val="005257C7"/>
    <w:rsid w:val="005407EF"/>
    <w:rsid w:val="006D4369"/>
    <w:rsid w:val="006F7B27"/>
    <w:rsid w:val="007B1305"/>
    <w:rsid w:val="00825F77"/>
    <w:rsid w:val="00897EC7"/>
    <w:rsid w:val="009979B8"/>
    <w:rsid w:val="009E56AC"/>
    <w:rsid w:val="00A124A5"/>
    <w:rsid w:val="00A420EA"/>
    <w:rsid w:val="00A72995"/>
    <w:rsid w:val="00CB2CF5"/>
    <w:rsid w:val="00D03CAB"/>
    <w:rsid w:val="00D669DF"/>
    <w:rsid w:val="00DD462C"/>
    <w:rsid w:val="00EC17A4"/>
    <w:rsid w:val="00F8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F4E07-EEFB-434F-8B85-046C4F8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16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A124A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E5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3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CodeArticle.do;jsessionid=4004DF6204C2741A63D9880B1E45F687.tpdila07v_3?idArticle=LEGIARTI000027864685&amp;cidTexte=LEGITEXT000006071191&amp;dateTexte=20170628&amp;categorieLien=id&amp;oldAction=rechCodeArtic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/affichCodeArticle.do?idArticle=LEGIARTI000006796446&amp;cidTexte=LEGITEXT000006074069&amp;dateTexte=20170628&amp;oldAction=rechCodeArticle&amp;fastReqId=173796519&amp;nbResultRech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france.gouv.fr/affichTexte.do?cidTexte=JORFTEXT00000045660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egifrance.gouv.fr/affichTexte.do?cidTexte=JORFTEXT000000809647&amp;categorieLien=i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ducation.gouv.fr/pid25535/bulletin_officiel.html?cid_bo=5880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818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BAGNERIS</dc:creator>
  <cp:lastModifiedBy>FRANCK DB</cp:lastModifiedBy>
  <cp:revision>12</cp:revision>
  <cp:lastPrinted>2017-11-03T10:34:00Z</cp:lastPrinted>
  <dcterms:created xsi:type="dcterms:W3CDTF">2018-03-05T20:15:00Z</dcterms:created>
  <dcterms:modified xsi:type="dcterms:W3CDTF">2018-04-23T06:26:00Z</dcterms:modified>
</cp:coreProperties>
</file>