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3" w:type="dxa"/>
        <w:tblInd w:w="69" w:type="dxa"/>
        <w:tblLayout w:type="fixed"/>
        <w:tblCellMar>
          <w:left w:w="10" w:type="dxa"/>
          <w:right w:w="10" w:type="dxa"/>
        </w:tblCellMar>
        <w:tblLook w:val="0000" w:firstRow="0" w:lastRow="0" w:firstColumn="0" w:lastColumn="0" w:noHBand="0" w:noVBand="0"/>
      </w:tblPr>
      <w:tblGrid>
        <w:gridCol w:w="2905"/>
        <w:gridCol w:w="6808"/>
      </w:tblGrid>
      <w:tr w:rsidR="00622EB4" w:rsidTr="00A75163">
        <w:tc>
          <w:tcPr>
            <w:tcW w:w="290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622EB4" w:rsidRPr="00A75163" w:rsidRDefault="00715493">
            <w:pPr>
              <w:pStyle w:val="TableContents"/>
              <w:jc w:val="center"/>
              <w:rPr>
                <w:rFonts w:ascii="Calibri" w:hAnsi="Calibri"/>
                <w:b/>
                <w:bCs/>
                <w:iCs/>
                <w:sz w:val="28"/>
                <w:szCs w:val="28"/>
              </w:rPr>
            </w:pPr>
            <w:r w:rsidRPr="00A75163">
              <w:rPr>
                <w:rFonts w:ascii="Calibri" w:hAnsi="Calibri"/>
                <w:b/>
                <w:bCs/>
                <w:iCs/>
                <w:sz w:val="28"/>
                <w:szCs w:val="28"/>
              </w:rPr>
              <w:t>Catégorie de public empêché</w:t>
            </w:r>
          </w:p>
        </w:tc>
        <w:tc>
          <w:tcPr>
            <w:tcW w:w="680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622EB4" w:rsidRPr="00A75163" w:rsidRDefault="00715493" w:rsidP="00A75163">
            <w:pPr>
              <w:pStyle w:val="TableContents"/>
              <w:jc w:val="center"/>
              <w:rPr>
                <w:rFonts w:ascii="Calibri" w:hAnsi="Calibri"/>
                <w:b/>
                <w:bCs/>
                <w:iCs/>
                <w:sz w:val="28"/>
                <w:szCs w:val="28"/>
              </w:rPr>
            </w:pPr>
            <w:r>
              <w:rPr>
                <w:rFonts w:ascii="Calibri" w:hAnsi="Calibri"/>
                <w:b/>
                <w:bCs/>
                <w:iCs/>
                <w:sz w:val="28"/>
                <w:szCs w:val="28"/>
              </w:rPr>
              <w:t>Etudiant en situation d’altération temporaire de santé</w:t>
            </w:r>
          </w:p>
        </w:tc>
      </w:tr>
      <w:tr w:rsidR="00622EB4" w:rsidTr="00A75163">
        <w:tc>
          <w:tcPr>
            <w:tcW w:w="290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22EB4" w:rsidRDefault="00715493">
            <w:pPr>
              <w:pStyle w:val="TableContents"/>
              <w:jc w:val="center"/>
            </w:pPr>
            <w:r>
              <w:rPr>
                <w:rFonts w:ascii="Calibri" w:hAnsi="Calibri"/>
                <w:b/>
                <w:sz w:val="28"/>
                <w:szCs w:val="28"/>
              </w:rPr>
              <w:t>Public concerné</w:t>
            </w:r>
          </w:p>
        </w:tc>
        <w:tc>
          <w:tcPr>
            <w:tcW w:w="68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622EB4" w:rsidRDefault="00715493" w:rsidP="00A75163">
            <w:pPr>
              <w:pStyle w:val="TableContents"/>
              <w:spacing w:before="60" w:after="60"/>
              <w:jc w:val="both"/>
            </w:pPr>
            <w:r>
              <w:rPr>
                <w:rFonts w:ascii="Calibri" w:hAnsi="Calibri"/>
                <w:sz w:val="18"/>
              </w:rPr>
              <w:t>Est</w:t>
            </w:r>
            <w:r>
              <w:rPr>
                <w:rFonts w:ascii="Calibri" w:hAnsi="Calibri"/>
                <w:spacing w:val="40"/>
                <w:sz w:val="18"/>
              </w:rPr>
              <w:t xml:space="preserve"> </w:t>
            </w:r>
            <w:r w:rsidR="0059643E">
              <w:rPr>
                <w:rFonts w:ascii="Calibri" w:hAnsi="Calibri"/>
                <w:sz w:val="18"/>
                <w:szCs w:val="18"/>
              </w:rPr>
              <w:t>entendu comme « </w:t>
            </w:r>
            <w:r>
              <w:rPr>
                <w:rFonts w:ascii="Calibri" w:hAnsi="Calibri"/>
                <w:sz w:val="18"/>
                <w:szCs w:val="18"/>
              </w:rPr>
              <w:t>situation d</w:t>
            </w:r>
            <w:r w:rsidR="0059643E">
              <w:rPr>
                <w:rFonts w:ascii="Calibri" w:hAnsi="Calibri"/>
                <w:sz w:val="18"/>
                <w:szCs w:val="18"/>
              </w:rPr>
              <w:t>’altération de santé temporaire </w:t>
            </w:r>
            <w:r>
              <w:rPr>
                <w:rFonts w:ascii="Calibri" w:hAnsi="Calibri"/>
                <w:sz w:val="18"/>
                <w:szCs w:val="18"/>
              </w:rPr>
              <w:t>» une limitation d’activité ou restriction de participation à la vie en société subie dans son environnement par une personne en raison d’une altération substantielle, momentanée et réversible, d’une durée plus ou moins déterminée, d’une ou plus plusieurs fonctions (physiques, sensorielles, mentales, psychiques ou cognitives).</w:t>
            </w:r>
          </w:p>
          <w:p w:rsidR="00622EB4" w:rsidRPr="007266D2" w:rsidRDefault="00715493" w:rsidP="00A75163">
            <w:pPr>
              <w:pStyle w:val="TableContents"/>
              <w:spacing w:before="60" w:after="60"/>
              <w:jc w:val="both"/>
              <w:rPr>
                <w:rFonts w:ascii="Calibri" w:hAnsi="Calibri"/>
                <w:sz w:val="18"/>
                <w:szCs w:val="18"/>
              </w:rPr>
            </w:pPr>
            <w:r>
              <w:rPr>
                <w:rFonts w:ascii="Calibri" w:hAnsi="Calibri"/>
                <w:sz w:val="18"/>
                <w:szCs w:val="18"/>
              </w:rPr>
              <w:t xml:space="preserve">De même, des effets sur la santé provenant d’événements traumatiques sont également à </w:t>
            </w:r>
            <w:r w:rsidRPr="007266D2">
              <w:rPr>
                <w:rFonts w:ascii="Calibri" w:hAnsi="Calibri"/>
                <w:sz w:val="18"/>
                <w:szCs w:val="18"/>
              </w:rPr>
              <w:t>prendre en compte dan</w:t>
            </w:r>
            <w:r w:rsidR="004602E2" w:rsidRPr="007266D2">
              <w:rPr>
                <w:rFonts w:ascii="Calibri" w:hAnsi="Calibri"/>
                <w:sz w:val="18"/>
                <w:szCs w:val="18"/>
              </w:rPr>
              <w:t>s ces altérations temporaires si et seulement si les effets sur la santé ne se répètent pas.</w:t>
            </w:r>
          </w:p>
          <w:p w:rsidR="00622EB4" w:rsidRPr="00A75163" w:rsidRDefault="00471EA1" w:rsidP="00A75163">
            <w:pPr>
              <w:pStyle w:val="TableContents"/>
              <w:spacing w:before="60" w:after="60"/>
              <w:jc w:val="both"/>
            </w:pPr>
            <w:r w:rsidRPr="007266D2">
              <w:rPr>
                <w:rFonts w:ascii="Calibri" w:hAnsi="Calibri"/>
                <w:sz w:val="18"/>
                <w:szCs w:val="18"/>
              </w:rPr>
              <w:t xml:space="preserve">Sont </w:t>
            </w:r>
            <w:r w:rsidR="00D14E8A" w:rsidRPr="007266D2">
              <w:rPr>
                <w:rFonts w:ascii="Calibri" w:hAnsi="Calibri"/>
                <w:sz w:val="18"/>
                <w:szCs w:val="18"/>
              </w:rPr>
              <w:t>admis</w:t>
            </w:r>
            <w:r w:rsidRPr="007266D2">
              <w:rPr>
                <w:rFonts w:ascii="Calibri" w:hAnsi="Calibri"/>
                <w:sz w:val="18"/>
                <w:szCs w:val="18"/>
              </w:rPr>
              <w:t xml:space="preserve"> comme ayant une limitation d’activité les étudiants </w:t>
            </w:r>
            <w:r w:rsidR="00D14E8A" w:rsidRPr="007266D2">
              <w:rPr>
                <w:rFonts w:ascii="Calibri" w:hAnsi="Calibri"/>
                <w:sz w:val="18"/>
                <w:szCs w:val="18"/>
              </w:rPr>
              <w:t xml:space="preserve">considérés comme cas </w:t>
            </w:r>
            <w:r w:rsidRPr="007266D2">
              <w:rPr>
                <w:rFonts w:ascii="Calibri" w:hAnsi="Calibri"/>
                <w:sz w:val="18"/>
                <w:szCs w:val="18"/>
              </w:rPr>
              <w:t xml:space="preserve">confirmés </w:t>
            </w:r>
            <w:r w:rsidR="00D14E8A" w:rsidRPr="007266D2">
              <w:rPr>
                <w:rFonts w:ascii="Calibri" w:hAnsi="Calibri"/>
                <w:sz w:val="18"/>
                <w:szCs w:val="18"/>
              </w:rPr>
              <w:t>ou</w:t>
            </w:r>
            <w:r w:rsidR="00C118A1" w:rsidRPr="007266D2">
              <w:rPr>
                <w:rFonts w:ascii="Calibri" w:hAnsi="Calibri"/>
                <w:sz w:val="18"/>
                <w:szCs w:val="18"/>
              </w:rPr>
              <w:t xml:space="preserve"> </w:t>
            </w:r>
            <w:r w:rsidRPr="007266D2">
              <w:rPr>
                <w:rFonts w:ascii="Calibri" w:hAnsi="Calibri"/>
                <w:sz w:val="18"/>
                <w:szCs w:val="18"/>
              </w:rPr>
              <w:t>à risque</w:t>
            </w:r>
            <w:r w:rsidR="00D14E8A" w:rsidRPr="007266D2">
              <w:rPr>
                <w:rFonts w:ascii="Calibri" w:hAnsi="Calibri"/>
                <w:sz w:val="18"/>
                <w:szCs w:val="18"/>
              </w:rPr>
              <w:t xml:space="preserve"> dans la cadre d’une crise sanitaire </w:t>
            </w:r>
            <w:r w:rsidRPr="007266D2">
              <w:rPr>
                <w:rFonts w:ascii="Calibri" w:hAnsi="Calibri"/>
                <w:sz w:val="18"/>
                <w:szCs w:val="18"/>
              </w:rPr>
              <w:t>et à qui il est demandé de ne pas venir dans l’établissement.</w:t>
            </w:r>
          </w:p>
        </w:tc>
      </w:tr>
      <w:tr w:rsidR="00622EB4" w:rsidTr="00A75163">
        <w:tc>
          <w:tcPr>
            <w:tcW w:w="290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22EB4" w:rsidRDefault="00715493">
            <w:pPr>
              <w:jc w:val="center"/>
              <w:rPr>
                <w:rFonts w:ascii="Calibri" w:hAnsi="Calibri"/>
                <w:b/>
                <w:sz w:val="28"/>
                <w:szCs w:val="20"/>
              </w:rPr>
            </w:pPr>
            <w:r>
              <w:rPr>
                <w:rFonts w:ascii="Calibri" w:hAnsi="Calibri"/>
                <w:b/>
                <w:sz w:val="28"/>
                <w:szCs w:val="20"/>
              </w:rPr>
              <w:t>Règlementation applicable</w:t>
            </w:r>
          </w:p>
        </w:tc>
        <w:tc>
          <w:tcPr>
            <w:tcW w:w="68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622EB4" w:rsidRDefault="00715493">
            <w:pPr>
              <w:pStyle w:val="Paragraphedeliste"/>
              <w:numPr>
                <w:ilvl w:val="0"/>
                <w:numId w:val="1"/>
              </w:numPr>
              <w:spacing w:after="0" w:line="240" w:lineRule="auto"/>
              <w:jc w:val="both"/>
              <w:rPr>
                <w:b/>
                <w:sz w:val="20"/>
                <w:szCs w:val="20"/>
              </w:rPr>
            </w:pPr>
            <w:r>
              <w:rPr>
                <w:b/>
                <w:sz w:val="20"/>
                <w:szCs w:val="20"/>
              </w:rPr>
              <w:t>Arrêté du 22 janvier 2014 fixant le cadre national des formations conduisant à la délivrance des diplômes nationaux de licence, de licence professionnelle et de master</w:t>
            </w:r>
          </w:p>
          <w:p w:rsidR="00622EB4" w:rsidRDefault="00622EB4">
            <w:pPr>
              <w:jc w:val="both"/>
              <w:rPr>
                <w:rFonts w:ascii="Calibri" w:hAnsi="Calibri" w:cs="Times New Roman"/>
                <w:b/>
                <w:sz w:val="20"/>
                <w:szCs w:val="20"/>
              </w:rPr>
            </w:pPr>
          </w:p>
          <w:p w:rsidR="00622EB4" w:rsidRPr="00A75163" w:rsidRDefault="00715493" w:rsidP="00A75163">
            <w:pPr>
              <w:jc w:val="both"/>
            </w:pPr>
            <w:r>
              <w:rPr>
                <w:rFonts w:ascii="Calibri" w:hAnsi="Calibri" w:cs="Times New Roman"/>
                <w:b/>
                <w:i/>
                <w:sz w:val="20"/>
                <w:szCs w:val="20"/>
                <w:u w:val="single"/>
              </w:rPr>
              <w:t>Article 10 :</w:t>
            </w:r>
            <w:r w:rsidRPr="00E013C2">
              <w:rPr>
                <w:rFonts w:ascii="Calibri" w:hAnsi="Calibri" w:cs="Times New Roman"/>
                <w:i/>
                <w:sz w:val="20"/>
                <w:szCs w:val="20"/>
              </w:rPr>
              <w:t xml:space="preserve"> « </w:t>
            </w:r>
            <w:r>
              <w:rPr>
                <w:rFonts w:ascii="Calibri" w:hAnsi="Calibri" w:cs="Times New Roman"/>
                <w:i/>
                <w:sz w:val="20"/>
                <w:szCs w:val="20"/>
              </w:rPr>
              <w:t>La CFVU du conseil académique ou … fixe les modalités pédagogiques spéciales prenant en compte les besoins spécifiques d’étudiants dans des situations particulières, notamment des étudiants salariés ou assumant des responsabilités particulières dans la vie universitaire, la vie étudiant ou associative, des femmes enceintes, des étudiants chargés de famille, des étudiants engagés dans plusieurs cursus, des étudiants handicapés, des artistes et des sportifs de huit niveau. »</w:t>
            </w:r>
          </w:p>
        </w:tc>
      </w:tr>
      <w:tr w:rsidR="00622EB4" w:rsidTr="00A75163">
        <w:tc>
          <w:tcPr>
            <w:tcW w:w="290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22EB4" w:rsidRPr="00A75163" w:rsidRDefault="00715493" w:rsidP="00A75163">
            <w:pPr>
              <w:jc w:val="center"/>
              <w:rPr>
                <w:rFonts w:ascii="Calibri" w:hAnsi="Calibri"/>
                <w:b/>
                <w:sz w:val="28"/>
                <w:szCs w:val="20"/>
              </w:rPr>
            </w:pPr>
            <w:r>
              <w:rPr>
                <w:rFonts w:ascii="Calibri" w:hAnsi="Calibri"/>
                <w:b/>
                <w:sz w:val="28"/>
                <w:szCs w:val="20"/>
              </w:rPr>
              <w:t>Justificatifs administratifs à recueillir</w:t>
            </w:r>
          </w:p>
        </w:tc>
        <w:tc>
          <w:tcPr>
            <w:tcW w:w="68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7266D2" w:rsidRDefault="00715493" w:rsidP="0003237D">
            <w:pPr>
              <w:pStyle w:val="TableContents"/>
              <w:numPr>
                <w:ilvl w:val="0"/>
                <w:numId w:val="2"/>
              </w:numPr>
              <w:jc w:val="both"/>
              <w:rPr>
                <w:rFonts w:ascii="Calibri" w:hAnsi="Calibri"/>
                <w:sz w:val="18"/>
                <w:szCs w:val="18"/>
              </w:rPr>
            </w:pPr>
            <w:r w:rsidRPr="007266D2">
              <w:rPr>
                <w:rFonts w:ascii="Calibri" w:hAnsi="Calibri"/>
                <w:sz w:val="18"/>
                <w:szCs w:val="18"/>
              </w:rPr>
              <w:t xml:space="preserve">Certificat médical du médecin généraliste, du médecin du travail ou de médecin spécialiste, etc. </w:t>
            </w:r>
          </w:p>
          <w:p w:rsidR="00471EA1" w:rsidRPr="007266D2" w:rsidRDefault="00471EA1" w:rsidP="00A75163">
            <w:pPr>
              <w:pStyle w:val="TableContents"/>
              <w:jc w:val="both"/>
              <w:rPr>
                <w:rFonts w:ascii="Calibri" w:hAnsi="Calibri"/>
                <w:sz w:val="18"/>
                <w:szCs w:val="18"/>
              </w:rPr>
            </w:pPr>
            <w:r w:rsidRPr="007266D2">
              <w:rPr>
                <w:rFonts w:ascii="Calibri" w:hAnsi="Calibri"/>
                <w:sz w:val="18"/>
                <w:szCs w:val="18"/>
              </w:rPr>
              <w:t>ou</w:t>
            </w:r>
          </w:p>
          <w:p w:rsidR="00471EA1" w:rsidRDefault="00D90376">
            <w:pPr>
              <w:pStyle w:val="TableContents"/>
              <w:numPr>
                <w:ilvl w:val="0"/>
                <w:numId w:val="2"/>
              </w:numPr>
              <w:jc w:val="both"/>
              <w:rPr>
                <w:rFonts w:ascii="Calibri" w:hAnsi="Calibri"/>
                <w:sz w:val="18"/>
                <w:szCs w:val="18"/>
              </w:rPr>
            </w:pPr>
            <w:r w:rsidRPr="007266D2">
              <w:rPr>
                <w:rFonts w:ascii="Calibri" w:hAnsi="Calibri"/>
                <w:sz w:val="18"/>
                <w:szCs w:val="18"/>
              </w:rPr>
              <w:t>Certificat de l’ARS,</w:t>
            </w:r>
            <w:r w:rsidR="00471EA1" w:rsidRPr="007266D2">
              <w:rPr>
                <w:rFonts w:ascii="Calibri" w:hAnsi="Calibri"/>
                <w:sz w:val="18"/>
                <w:szCs w:val="18"/>
              </w:rPr>
              <w:t xml:space="preserve"> </w:t>
            </w:r>
            <w:r w:rsidR="00466EBF" w:rsidRPr="007266D2">
              <w:rPr>
                <w:rFonts w:ascii="Calibri" w:hAnsi="Calibri"/>
                <w:sz w:val="18"/>
                <w:szCs w:val="18"/>
              </w:rPr>
              <w:t xml:space="preserve">de la </w:t>
            </w:r>
            <w:r w:rsidR="00471EA1" w:rsidRPr="007266D2">
              <w:rPr>
                <w:rFonts w:ascii="Calibri" w:hAnsi="Calibri"/>
                <w:sz w:val="18"/>
                <w:szCs w:val="18"/>
              </w:rPr>
              <w:t>CPAM</w:t>
            </w:r>
            <w:r w:rsidRPr="007266D2">
              <w:rPr>
                <w:rFonts w:ascii="Calibri" w:hAnsi="Calibri"/>
                <w:sz w:val="18"/>
                <w:szCs w:val="18"/>
              </w:rPr>
              <w:t xml:space="preserve"> ou du SSU</w:t>
            </w:r>
            <w:r w:rsidR="00466EBF" w:rsidRPr="007266D2">
              <w:rPr>
                <w:rFonts w:ascii="Calibri" w:hAnsi="Calibri"/>
                <w:sz w:val="18"/>
                <w:szCs w:val="18"/>
              </w:rPr>
              <w:t xml:space="preserve"> indiquant la nécessité de s’isoler</w:t>
            </w:r>
          </w:p>
        </w:tc>
      </w:tr>
      <w:tr w:rsidR="00622EB4" w:rsidTr="00A75163">
        <w:tc>
          <w:tcPr>
            <w:tcW w:w="2905"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rsidR="00622EB4" w:rsidRPr="00A75163" w:rsidRDefault="00715493" w:rsidP="00A75163">
            <w:pPr>
              <w:jc w:val="center"/>
              <w:rPr>
                <w:rFonts w:ascii="Calibri" w:hAnsi="Calibri"/>
                <w:b/>
                <w:sz w:val="28"/>
                <w:szCs w:val="20"/>
              </w:rPr>
            </w:pPr>
            <w:r>
              <w:rPr>
                <w:rFonts w:ascii="Calibri" w:hAnsi="Calibri"/>
                <w:b/>
                <w:sz w:val="28"/>
                <w:szCs w:val="20"/>
              </w:rPr>
              <w:t>Date limite de déclaration de la situation auprès de sa composante</w:t>
            </w:r>
          </w:p>
        </w:tc>
        <w:tc>
          <w:tcPr>
            <w:tcW w:w="6808"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vAlign w:val="center"/>
          </w:tcPr>
          <w:p w:rsidR="00622EB4" w:rsidRPr="00A75163" w:rsidRDefault="00715493" w:rsidP="00A75163">
            <w:pPr>
              <w:pStyle w:val="Paragraphedeliste"/>
              <w:tabs>
                <w:tab w:val="left" w:pos="459"/>
              </w:tabs>
              <w:ind w:left="0"/>
              <w:jc w:val="both"/>
              <w:rPr>
                <w:rFonts w:cs="Arial"/>
                <w:b/>
                <w:sz w:val="18"/>
                <w:szCs w:val="20"/>
                <w:u w:val="single"/>
              </w:rPr>
            </w:pPr>
            <w:r w:rsidRPr="00A75163">
              <w:rPr>
                <w:rFonts w:cs="Arial"/>
                <w:b/>
                <w:sz w:val="18"/>
                <w:szCs w:val="20"/>
                <w:u w:val="single"/>
              </w:rPr>
              <w:t>Procédure :</w:t>
            </w:r>
          </w:p>
          <w:p w:rsidR="00622EB4" w:rsidRDefault="00715493">
            <w:pPr>
              <w:pStyle w:val="Paragraphedeliste"/>
              <w:tabs>
                <w:tab w:val="left" w:pos="459"/>
              </w:tabs>
              <w:ind w:left="317"/>
              <w:jc w:val="both"/>
            </w:pPr>
            <w:r>
              <w:rPr>
                <w:rFonts w:ascii="Wingdings" w:eastAsia="Wingdings" w:hAnsi="Wingdings" w:cs="Wingdings"/>
                <w:sz w:val="18"/>
                <w:szCs w:val="20"/>
              </w:rPr>
              <w:t></w:t>
            </w:r>
            <w:r>
              <w:rPr>
                <w:rFonts w:cs="Arial"/>
                <w:sz w:val="18"/>
                <w:szCs w:val="20"/>
              </w:rPr>
              <w:t xml:space="preserve"> Demande à formuler au maximum une semaine à compter de l’absence constatée auprès de la scolarité de sa formation au sein de sa composante</w:t>
            </w:r>
          </w:p>
          <w:p w:rsidR="00622EB4" w:rsidRDefault="00715493">
            <w:pPr>
              <w:pStyle w:val="Paragraphedeliste"/>
              <w:tabs>
                <w:tab w:val="left" w:pos="459"/>
              </w:tabs>
              <w:ind w:left="317"/>
              <w:jc w:val="both"/>
            </w:pPr>
            <w:r>
              <w:rPr>
                <w:rFonts w:ascii="Wingdings" w:eastAsia="Wingdings" w:hAnsi="Wingdings" w:cs="Wingdings"/>
                <w:sz w:val="18"/>
                <w:szCs w:val="20"/>
              </w:rPr>
              <w:t></w:t>
            </w:r>
            <w:r>
              <w:rPr>
                <w:rFonts w:cs="Arial"/>
                <w:sz w:val="18"/>
                <w:szCs w:val="20"/>
              </w:rPr>
              <w:t xml:space="preserve">1 dossier de demande à compléter avec justificatifs </w:t>
            </w:r>
          </w:p>
          <w:p w:rsidR="00622EB4" w:rsidRDefault="00715493">
            <w:pPr>
              <w:pStyle w:val="Paragraphedeliste"/>
              <w:tabs>
                <w:tab w:val="left" w:pos="459"/>
              </w:tabs>
              <w:ind w:left="317"/>
              <w:jc w:val="both"/>
            </w:pPr>
            <w:r>
              <w:rPr>
                <w:rFonts w:ascii="Wingdings" w:eastAsia="Wingdings" w:hAnsi="Wingdings" w:cs="Wingdings"/>
                <w:sz w:val="18"/>
                <w:szCs w:val="20"/>
              </w:rPr>
              <w:t></w:t>
            </w:r>
            <w:r>
              <w:rPr>
                <w:rFonts w:cs="Arial"/>
                <w:sz w:val="18"/>
                <w:szCs w:val="20"/>
              </w:rPr>
              <w:t>1 réponse officielle d’acceptation de la demande de RSE</w:t>
            </w:r>
          </w:p>
          <w:p w:rsidR="00622EB4" w:rsidRPr="00A75163" w:rsidRDefault="00715493" w:rsidP="00A75163">
            <w:pPr>
              <w:pStyle w:val="TableContents"/>
              <w:jc w:val="both"/>
            </w:pPr>
            <w:r>
              <w:rPr>
                <w:rFonts w:ascii="Calibri" w:hAnsi="Calibri"/>
                <w:b/>
                <w:sz w:val="18"/>
                <w:szCs w:val="18"/>
                <w:u w:val="single"/>
              </w:rPr>
              <w:t>Remarque :</w:t>
            </w:r>
            <w:r>
              <w:rPr>
                <w:rFonts w:ascii="Calibri" w:hAnsi="Calibri"/>
                <w:sz w:val="18"/>
                <w:szCs w:val="18"/>
              </w:rPr>
              <w:t xml:space="preserve"> Compte tenu des caractéristiques du public étudiant visé, un prolongement peut être organisé.</w:t>
            </w:r>
          </w:p>
        </w:tc>
      </w:tr>
      <w:tr w:rsidR="00622EB4" w:rsidTr="00A75163">
        <w:tc>
          <w:tcPr>
            <w:tcW w:w="290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22EB4" w:rsidRDefault="00715493">
            <w:pPr>
              <w:jc w:val="center"/>
              <w:rPr>
                <w:rFonts w:ascii="Calibri" w:hAnsi="Calibri"/>
                <w:b/>
                <w:sz w:val="28"/>
                <w:szCs w:val="20"/>
              </w:rPr>
            </w:pPr>
            <w:r>
              <w:rPr>
                <w:rFonts w:ascii="Calibri" w:hAnsi="Calibri"/>
                <w:b/>
                <w:sz w:val="28"/>
                <w:szCs w:val="20"/>
              </w:rPr>
              <w:t>Aménagements disponibles</w:t>
            </w:r>
          </w:p>
        </w:tc>
        <w:tc>
          <w:tcPr>
            <w:tcW w:w="680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22EB4" w:rsidRDefault="00715493" w:rsidP="00A75163">
            <w:pPr>
              <w:autoSpaceDE w:val="0"/>
              <w:spacing w:before="60" w:after="60"/>
              <w:jc w:val="both"/>
              <w:rPr>
                <w:rFonts w:ascii="Calibri" w:hAnsi="Calibri"/>
                <w:sz w:val="18"/>
                <w:szCs w:val="20"/>
              </w:rPr>
            </w:pPr>
            <w:r>
              <w:rPr>
                <w:rFonts w:ascii="Calibri" w:hAnsi="Calibri"/>
                <w:sz w:val="18"/>
                <w:szCs w:val="20"/>
              </w:rPr>
              <w:t xml:space="preserve">Les composantes </w:t>
            </w:r>
            <w:r w:rsidR="007266D2">
              <w:rPr>
                <w:rFonts w:ascii="Calibri" w:hAnsi="Calibri"/>
                <w:sz w:val="18"/>
                <w:szCs w:val="20"/>
              </w:rPr>
              <w:t>sont tenues de</w:t>
            </w:r>
            <w:r>
              <w:rPr>
                <w:rFonts w:ascii="Calibri" w:hAnsi="Calibri"/>
                <w:sz w:val="18"/>
                <w:szCs w:val="20"/>
              </w:rPr>
              <w:t xml:space="preserve"> considérer les </w:t>
            </w:r>
            <w:r w:rsidR="007266D2">
              <w:rPr>
                <w:rFonts w:ascii="Calibri" w:hAnsi="Calibri"/>
                <w:sz w:val="18"/>
                <w:szCs w:val="20"/>
              </w:rPr>
              <w:t>absences à</w:t>
            </w:r>
            <w:r>
              <w:rPr>
                <w:rFonts w:ascii="Calibri" w:hAnsi="Calibri"/>
                <w:sz w:val="18"/>
                <w:szCs w:val="20"/>
              </w:rPr>
              <w:t xml:space="preserve"> tout étudiant ayant le statut </w:t>
            </w:r>
            <w:r w:rsidR="0059643E">
              <w:rPr>
                <w:rFonts w:ascii="Calibri" w:hAnsi="Calibri"/>
                <w:sz w:val="18"/>
                <w:szCs w:val="20"/>
              </w:rPr>
              <w:t>d’« </w:t>
            </w:r>
            <w:r w:rsidR="007266D2">
              <w:rPr>
                <w:rFonts w:ascii="Calibri" w:hAnsi="Calibri"/>
                <w:sz w:val="18"/>
                <w:szCs w:val="20"/>
              </w:rPr>
              <w:t>étudiant</w:t>
            </w:r>
            <w:r>
              <w:rPr>
                <w:rFonts w:ascii="Calibri" w:hAnsi="Calibri"/>
                <w:sz w:val="18"/>
                <w:szCs w:val="20"/>
              </w:rPr>
              <w:t xml:space="preserve"> en situation d’altération temporaire</w:t>
            </w:r>
            <w:r w:rsidR="0059643E">
              <w:rPr>
                <w:rFonts w:ascii="Calibri" w:hAnsi="Calibri"/>
                <w:sz w:val="18"/>
                <w:szCs w:val="20"/>
              </w:rPr>
              <w:t> </w:t>
            </w:r>
            <w:r>
              <w:rPr>
                <w:rFonts w:ascii="Calibri" w:hAnsi="Calibri"/>
                <w:sz w:val="18"/>
                <w:szCs w:val="20"/>
              </w:rPr>
              <w:t>» comme une absence justifiée.</w:t>
            </w:r>
          </w:p>
          <w:p w:rsidR="00622EB4" w:rsidRPr="00A75163" w:rsidRDefault="00715493" w:rsidP="00A75163">
            <w:pPr>
              <w:tabs>
                <w:tab w:val="left" w:pos="459"/>
              </w:tabs>
              <w:spacing w:before="60" w:after="60"/>
              <w:jc w:val="both"/>
              <w:rPr>
                <w:rFonts w:ascii="Calibri" w:hAnsi="Calibri"/>
                <w:sz w:val="18"/>
                <w:szCs w:val="18"/>
              </w:rPr>
            </w:pPr>
            <w:r>
              <w:rPr>
                <w:rFonts w:ascii="Calibri" w:hAnsi="Calibri"/>
                <w:sz w:val="18"/>
                <w:szCs w:val="18"/>
              </w:rPr>
              <w:t>Les composantes peuvent toujours compléter cette préconisation dans un s</w:t>
            </w:r>
            <w:r w:rsidR="00471EA1">
              <w:rPr>
                <w:rFonts w:ascii="Calibri" w:hAnsi="Calibri"/>
                <w:sz w:val="18"/>
                <w:szCs w:val="18"/>
              </w:rPr>
              <w:t xml:space="preserve">ens plus favorable à </w:t>
            </w:r>
            <w:r w:rsidR="00471EA1" w:rsidRPr="007266D2">
              <w:rPr>
                <w:rFonts w:ascii="Calibri" w:hAnsi="Calibri"/>
                <w:sz w:val="18"/>
                <w:szCs w:val="18"/>
              </w:rPr>
              <w:t>l’étudiant, notamment en utilisant les outils de formation à distance.</w:t>
            </w:r>
          </w:p>
        </w:tc>
      </w:tr>
      <w:tr w:rsidR="00622EB4" w:rsidTr="00A75163">
        <w:tc>
          <w:tcPr>
            <w:tcW w:w="290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22EB4" w:rsidRPr="00A75163" w:rsidRDefault="00C35C44" w:rsidP="00A75163">
            <w:pPr>
              <w:jc w:val="center"/>
              <w:rPr>
                <w:rFonts w:asciiTheme="minorHAnsi" w:hAnsiTheme="minorHAnsi" w:cstheme="minorHAnsi"/>
                <w:b/>
                <w:sz w:val="28"/>
                <w:szCs w:val="20"/>
              </w:rPr>
            </w:pPr>
            <w:r w:rsidRPr="00A75163">
              <w:rPr>
                <w:rFonts w:asciiTheme="minorHAnsi" w:hAnsiTheme="minorHAnsi" w:cstheme="minorHAnsi"/>
                <w:b/>
                <w:sz w:val="28"/>
                <w:szCs w:val="20"/>
              </w:rPr>
              <w:t>Demande de régime spécifique d’étude</w:t>
            </w:r>
          </w:p>
        </w:tc>
        <w:tc>
          <w:tcPr>
            <w:tcW w:w="6808"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60C8E" w:rsidRPr="00A75163" w:rsidRDefault="00E60C8E" w:rsidP="00A75163">
            <w:pPr>
              <w:tabs>
                <w:tab w:val="left" w:pos="459"/>
              </w:tabs>
              <w:spacing w:before="60" w:after="60"/>
              <w:jc w:val="both"/>
              <w:rPr>
                <w:rFonts w:asciiTheme="minorHAnsi" w:hAnsiTheme="minorHAnsi" w:cstheme="minorHAnsi"/>
                <w:sz w:val="18"/>
                <w:szCs w:val="20"/>
              </w:rPr>
            </w:pPr>
            <w:r w:rsidRPr="00A75163">
              <w:rPr>
                <w:rFonts w:asciiTheme="minorHAnsi" w:hAnsiTheme="minorHAnsi" w:cstheme="minorHAnsi"/>
                <w:sz w:val="18"/>
                <w:szCs w:val="20"/>
              </w:rPr>
              <w:t xml:space="preserve">Une demande de Régime Spécifique d’Etude devra être effectuée afin de spécifier les périodes d’autorisations d’absences justifiées ainsi que le mode d’évaluation </w:t>
            </w:r>
            <w:r w:rsidRPr="00A75163">
              <w:rPr>
                <w:rFonts w:asciiTheme="minorHAnsi" w:hAnsiTheme="minorHAnsi" w:cstheme="minorHAnsi"/>
                <w:b/>
                <w:bCs/>
                <w:sz w:val="18"/>
                <w:szCs w:val="20"/>
                <w:u w:val="single"/>
              </w:rPr>
              <w:t>du contrôle continu</w:t>
            </w:r>
            <w:r w:rsidRPr="00A75163">
              <w:rPr>
                <w:rFonts w:asciiTheme="minorHAnsi" w:hAnsiTheme="minorHAnsi" w:cstheme="minorHAnsi"/>
                <w:sz w:val="18"/>
                <w:szCs w:val="20"/>
              </w:rPr>
              <w:t xml:space="preserve"> des UEs/ECs concernées selon les MCC. </w:t>
            </w:r>
          </w:p>
          <w:p w:rsidR="00E60C8E" w:rsidRPr="00A75163" w:rsidRDefault="00E60C8E" w:rsidP="00A75163">
            <w:pPr>
              <w:tabs>
                <w:tab w:val="left" w:pos="459"/>
              </w:tabs>
              <w:spacing w:before="60" w:after="60"/>
              <w:jc w:val="both"/>
              <w:rPr>
                <w:rFonts w:asciiTheme="minorHAnsi" w:hAnsiTheme="minorHAnsi" w:cstheme="minorHAnsi"/>
                <w:sz w:val="18"/>
                <w:szCs w:val="20"/>
              </w:rPr>
            </w:pPr>
            <w:r w:rsidRPr="00A75163">
              <w:rPr>
                <w:rFonts w:asciiTheme="minorHAnsi" w:hAnsiTheme="minorHAnsi" w:cstheme="minorHAnsi"/>
                <w:sz w:val="18"/>
                <w:szCs w:val="20"/>
              </w:rPr>
              <w:t>L’étudiant devra choisir, après co</w:t>
            </w:r>
            <w:bookmarkStart w:id="0" w:name="_GoBack"/>
            <w:bookmarkEnd w:id="0"/>
            <w:r w:rsidRPr="00A75163">
              <w:rPr>
                <w:rFonts w:asciiTheme="minorHAnsi" w:hAnsiTheme="minorHAnsi" w:cstheme="minorHAnsi"/>
                <w:sz w:val="18"/>
                <w:szCs w:val="20"/>
              </w:rPr>
              <w:t>ncertation auprès des enseignants concernés, entre deux modes dévaluation : contrôle continu aménagé ou organisation d’une épreuve terminale pendant la période des EXAMENS planifiée au sein de la composante pour chaque UE/EC concernée.</w:t>
            </w:r>
          </w:p>
          <w:p w:rsidR="00622EB4" w:rsidRPr="00A75163" w:rsidRDefault="00E60C8E" w:rsidP="00A75163">
            <w:pPr>
              <w:spacing w:before="60" w:after="60"/>
              <w:jc w:val="both"/>
              <w:rPr>
                <w:rFonts w:asciiTheme="minorHAnsi" w:hAnsiTheme="minorHAnsi" w:cstheme="minorHAnsi"/>
                <w:bCs/>
                <w:sz w:val="18"/>
                <w:szCs w:val="20"/>
              </w:rPr>
            </w:pPr>
            <w:r w:rsidRPr="00A75163">
              <w:rPr>
                <w:rFonts w:asciiTheme="minorHAnsi" w:hAnsiTheme="minorHAnsi" w:cstheme="minorHAnsi"/>
                <w:bCs/>
                <w:sz w:val="18"/>
                <w:szCs w:val="20"/>
              </w:rPr>
              <w:t>Ce contrat peut se traduire par certains aménagements lors des EXAMENS (ex : tiers-temps</w:t>
            </w:r>
            <w:r w:rsidRPr="00A75163">
              <w:rPr>
                <w:rFonts w:asciiTheme="minorHAnsi" w:hAnsiTheme="minorHAnsi" w:cstheme="minorHAnsi"/>
                <w:bCs/>
                <w:sz w:val="18"/>
                <w:szCs w:val="20"/>
              </w:rPr>
              <w:br/>
              <w:t>supplémentaire, composition sur ordinateur, ...) mais ne permet pas de modification du calendrier des épreuves.</w:t>
            </w:r>
          </w:p>
        </w:tc>
      </w:tr>
    </w:tbl>
    <w:p w:rsidR="00622EB4" w:rsidRDefault="00622EB4">
      <w:pPr>
        <w:pStyle w:val="Standard"/>
        <w:jc w:val="both"/>
        <w:rPr>
          <w:rFonts w:ascii="Calibri" w:hAnsi="Calibri"/>
          <w:sz w:val="18"/>
          <w:szCs w:val="18"/>
        </w:rPr>
      </w:pPr>
    </w:p>
    <w:sectPr w:rsidR="00622EB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4D0" w:rsidRDefault="006C14D0">
      <w:r>
        <w:separator/>
      </w:r>
    </w:p>
  </w:endnote>
  <w:endnote w:type="continuationSeparator" w:id="0">
    <w:p w:rsidR="006C14D0" w:rsidRDefault="006C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4D0" w:rsidRDefault="006C14D0">
      <w:r>
        <w:rPr>
          <w:color w:val="000000"/>
        </w:rPr>
        <w:separator/>
      </w:r>
    </w:p>
  </w:footnote>
  <w:footnote w:type="continuationSeparator" w:id="0">
    <w:p w:rsidR="006C14D0" w:rsidRDefault="006C1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B8C"/>
    <w:multiLevelType w:val="multilevel"/>
    <w:tmpl w:val="F10E4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E95C94"/>
    <w:multiLevelType w:val="multilevel"/>
    <w:tmpl w:val="BAE0A02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EB4"/>
    <w:rsid w:val="001B7529"/>
    <w:rsid w:val="001D6603"/>
    <w:rsid w:val="00213A16"/>
    <w:rsid w:val="0038528A"/>
    <w:rsid w:val="004602E2"/>
    <w:rsid w:val="00466EBF"/>
    <w:rsid w:val="00471EA1"/>
    <w:rsid w:val="0059643E"/>
    <w:rsid w:val="00622EB4"/>
    <w:rsid w:val="006C14D0"/>
    <w:rsid w:val="00715493"/>
    <w:rsid w:val="007266D2"/>
    <w:rsid w:val="007D7636"/>
    <w:rsid w:val="008662DF"/>
    <w:rsid w:val="009A58FE"/>
    <w:rsid w:val="00A75163"/>
    <w:rsid w:val="00B0146D"/>
    <w:rsid w:val="00C118A1"/>
    <w:rsid w:val="00C35C44"/>
    <w:rsid w:val="00C72130"/>
    <w:rsid w:val="00D14E8A"/>
    <w:rsid w:val="00D90376"/>
    <w:rsid w:val="00E013C2"/>
    <w:rsid w:val="00E60C8E"/>
    <w:rsid w:val="00E659C2"/>
    <w:rsid w:val="00F926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4BDA"/>
  <w15:docId w15:val="{1DEC3CF5-875F-437F-9DD3-2FFEF691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StrongEmphasis">
    <w:name w:val="Strong Emphasis"/>
    <w:rPr>
      <w:b/>
      <w:bCs/>
    </w:rPr>
  </w:style>
  <w:style w:type="paragraph" w:styleId="Paragraphedeliste">
    <w:name w:val="List Paragraph"/>
    <w:basedOn w:val="Normal"/>
    <w:pPr>
      <w:suppressAutoHyphens w:val="0"/>
      <w:spacing w:after="200" w:line="276" w:lineRule="auto"/>
      <w:ind w:left="720"/>
      <w:textAlignment w:val="auto"/>
    </w:pPr>
    <w:rPr>
      <w:rFonts w:ascii="Calibri" w:eastAsia="Calibri" w:hAnsi="Calibri"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512</Words>
  <Characters>2821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utilisateut-pc</dc:creator>
  <cp:lastModifiedBy>Luis Pires</cp:lastModifiedBy>
  <cp:revision>7</cp:revision>
  <dcterms:created xsi:type="dcterms:W3CDTF">2020-09-21T11:50:00Z</dcterms:created>
  <dcterms:modified xsi:type="dcterms:W3CDTF">2020-09-22T10:38:00Z</dcterms:modified>
</cp:coreProperties>
</file>